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hint="eastAsia" w:ascii="宋体" w:hAnsi="宋体"/>
          <w:b/>
          <w:bCs/>
          <w:sz w:val="44"/>
          <w:szCs w:val="16"/>
          <w:highlight w:val="none"/>
        </w:rPr>
      </w:pPr>
      <w:r>
        <w:rPr>
          <w:rFonts w:hint="eastAsia" w:ascii="宋体" w:hAnsi="宋体"/>
          <w:b/>
          <w:bCs/>
          <w:sz w:val="44"/>
          <w:szCs w:val="16"/>
          <w:highlight w:val="none"/>
        </w:rPr>
      </w:r>
      <w:r/>
    </w:p>
    <w:p>
      <w:pPr>
        <w:jc w:val="center"/>
        <w:tabs>
          <w:tab w:val="left" w:pos="840" w:leader="none"/>
        </w:tabs>
        <w:rPr>
          <w:rFonts w:hint="eastAsia" w:ascii="宋体" w:hAnsi="宋体"/>
          <w:b/>
          <w:bCs/>
          <w:color w:val="auto"/>
          <w:sz w:val="52"/>
          <w:highlight w:val="none"/>
        </w:rPr>
      </w:pPr>
      <w:r>
        <w:rPr>
          <w:rFonts w:hint="eastAsia" w:ascii="宋体" w:hAnsi="宋体"/>
          <w:b/>
          <w:bCs/>
          <w:color w:val="auto"/>
          <w:sz w:val="52"/>
          <w:highlight w:val="none"/>
        </w:rPr>
        <w:t xml:space="preserve">宜 兴 市 政 府 采 购</w:t>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磋</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商</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件</w:t>
      </w:r>
      <w:r/>
    </w:p>
    <w:p>
      <w:pPr>
        <w:jc w:val="center"/>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color w:val="auto"/>
          <w:sz w:val="32"/>
          <w:highlight w:val="none"/>
        </w:rPr>
      </w:pPr>
      <w:r>
        <w:rPr>
          <w:rFonts w:hint="eastAsia" w:ascii="宋体" w:hAnsi="宋体"/>
          <w:color w:val="auto"/>
          <w:sz w:val="32"/>
          <w:highlight w:val="none"/>
        </w:rPr>
        <w:t xml:space="preserve">（电子标）</w:t>
      </w:r>
      <w:r/>
    </w:p>
    <w:p>
      <w:pPr>
        <w:jc w:val="center"/>
        <w:rPr>
          <w:rFonts w:hint="eastAsia" w:ascii="宋体" w:hAnsi="宋体"/>
          <w:color w:val="auto"/>
          <w:sz w:val="32"/>
          <w:highlight w:val="none"/>
        </w:rPr>
      </w:pPr>
      <w:r>
        <w:rPr>
          <w:rFonts w:hint="eastAsia" w:ascii="宋体" w:hAnsi="宋体"/>
          <w:color w:val="auto"/>
          <w:sz w:val="32"/>
          <w:highlight w:val="none"/>
        </w:rPr>
      </w:r>
      <w:r/>
    </w:p>
    <w:p>
      <w:pPr>
        <w:jc w:val="center"/>
        <w:keepLines w:val="0"/>
        <w:keepNext w:val="0"/>
        <w:pageBreakBefore w:val="0"/>
        <w:spacing w:line="600" w:lineRule="exact"/>
        <w:widowControl w:val="off"/>
        <w:rPr>
          <w:rFonts w:hint="eastAsia" w:ascii="宋体" w:hAnsi="宋体"/>
          <w:color w:val="auto"/>
          <w:sz w:val="32"/>
          <w:highlight w:val="none"/>
        </w:rPr>
      </w:pPr>
      <w:r>
        <w:rPr>
          <w:rFonts w:hint="eastAsia" w:ascii="宋体" w:hAnsi="宋体"/>
          <w:color w:val="auto"/>
          <w:sz w:val="32"/>
          <w:highlight w:val="none"/>
        </w:rPr>
        <w:t xml:space="preserve">项目编号:</w:t>
      </w:r>
      <w:r>
        <w:rPr>
          <w:rFonts w:hint="eastAsia" w:ascii="宋体" w:hAnsi="宋体"/>
          <w:color w:val="auto"/>
          <w:sz w:val="32"/>
          <w:highlight w:val="none"/>
          <w:lang w:eastAsia="zh-CN"/>
        </w:rPr>
        <w:t xml:space="preserve">JSZC-320282-JSXY-C2025-0009</w:t>
      </w:r>
      <w:r/>
    </w:p>
    <w:p>
      <w:pPr>
        <w:jc w:val="center"/>
        <w:keepLines w:val="0"/>
        <w:keepNext w:val="0"/>
        <w:pageBreakBefore w:val="0"/>
        <w:spacing w:line="600" w:lineRule="exact"/>
        <w:widowControl w:val="off"/>
        <w:rPr>
          <w:rFonts w:hint="default" w:ascii="宋体" w:hAnsi="宋体"/>
          <w:color w:val="auto"/>
          <w:sz w:val="32"/>
          <w:highlight w:val="none"/>
        </w:rPr>
      </w:pPr>
      <w:r>
        <w:rPr>
          <w:rFonts w:hint="eastAsia" w:ascii="宋体" w:hAnsi="宋体"/>
          <w:color w:val="auto"/>
          <w:sz w:val="32"/>
          <w:highlight w:val="none"/>
        </w:rPr>
        <w:t xml:space="preserve">项目名称：</w:t>
      </w:r>
      <w:r>
        <w:rPr>
          <w:rFonts w:hint="eastAsia" w:ascii="宋体" w:hAnsi="宋体"/>
          <w:color w:val="auto"/>
          <w:sz w:val="32"/>
          <w:highlight w:val="none"/>
          <w:lang w:eastAsia="zh-CN"/>
        </w:rPr>
        <w:t xml:space="preserve">杨巷镇生活污水“全收集全处理”提质提标工作前期服务项目</w:t>
      </w:r>
      <w:r/>
    </w:p>
    <w:p>
      <w:pPr>
        <w:jc w:val="center"/>
        <w:keepLines w:val="0"/>
        <w:keepNext w:val="0"/>
        <w:pageBreakBefore w:val="0"/>
        <w:spacing w:line="600" w:lineRule="exact"/>
        <w:widowControl w:val="off"/>
        <w:rPr>
          <w:rFonts w:hint="default" w:ascii="宋体" w:hAnsi="宋体"/>
          <w:color w:val="auto"/>
          <w:sz w:val="32"/>
          <w:highlight w:val="none"/>
          <w:lang w:eastAsia="zh-CN"/>
        </w:rPr>
      </w:pPr>
      <w:r>
        <w:rPr>
          <w:rFonts w:hint="eastAsia" w:ascii="宋体" w:hAnsi="宋体"/>
          <w:color w:val="auto"/>
          <w:sz w:val="32"/>
          <w:highlight w:val="none"/>
        </w:rPr>
        <w:t xml:space="preserve">采购人：</w:t>
      </w:r>
      <w:r>
        <w:rPr>
          <w:rFonts w:hint="eastAsia" w:ascii="宋体" w:hAnsi="宋体"/>
          <w:color w:val="auto"/>
          <w:sz w:val="32"/>
          <w:highlight w:val="none"/>
          <w:lang w:eastAsia="zh-CN"/>
        </w:rPr>
        <w:t xml:space="preserve">宜兴市杨巷镇人民政府</w:t>
      </w:r>
      <w:r/>
    </w:p>
    <w:p>
      <w:pPr>
        <w:jc w:val="center"/>
        <w:keepLines w:val="0"/>
        <w:keepNext w:val="0"/>
        <w:pageBreakBefore w:val="0"/>
        <w:spacing w:line="600" w:lineRule="exact"/>
        <w:widowControl w:val="off"/>
        <w:rPr>
          <w:rFonts w:hint="eastAsia" w:ascii="宋体" w:hAnsi="宋体" w:eastAsia="宋体"/>
          <w:color w:val="auto"/>
          <w:sz w:val="32"/>
          <w:highlight w:val="none"/>
          <w:lang w:eastAsia="zh-CN"/>
        </w:rPr>
      </w:pPr>
      <w:r>
        <w:rPr>
          <w:rFonts w:hint="eastAsia" w:ascii="宋体" w:hAnsi="宋体"/>
          <w:color w:val="auto"/>
          <w:sz w:val="32"/>
          <w:highlight w:val="none"/>
          <w:lang w:eastAsia="zh-CN"/>
        </w:rPr>
        <w:t xml:space="preserve">采购代理机构</w:t>
      </w:r>
      <w:r>
        <w:rPr>
          <w:rFonts w:hint="eastAsia" w:ascii="宋体" w:hAnsi="宋体"/>
          <w:color w:val="auto"/>
          <w:sz w:val="32"/>
          <w:highlight w:val="none"/>
        </w:rPr>
        <w:t xml:space="preserve">：</w:t>
      </w:r>
      <w:r>
        <w:rPr>
          <w:rFonts w:hint="eastAsia" w:ascii="宋体" w:hAnsi="宋体"/>
          <w:color w:val="auto"/>
          <w:sz w:val="32"/>
          <w:highlight w:val="none"/>
          <w:lang w:eastAsia="zh-CN"/>
        </w:rPr>
        <w:t xml:space="preserve">国正工程咨询（江苏）有限责任公司</w:t>
      </w:r>
      <w:r/>
    </w:p>
    <w:p>
      <w:pPr>
        <w:jc w:val="center"/>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color w:val="auto"/>
          <w:sz w:val="32"/>
          <w:highlight w:val="none"/>
        </w:rPr>
        <w:sectPr>
          <w:footerReference w:type="default" r:id="rId9"/>
          <w:footnotePr/>
          <w:endnotePr/>
          <w:type w:val="nextPage"/>
          <w:pgSz w:w="11906" w:h="16838" w:orient="portrait"/>
          <w:pgMar w:top="1440" w:right="1701" w:bottom="1440" w:left="1701" w:header="851" w:footer="992" w:gutter="0"/>
          <w:pgNumType w:start="1"/>
          <w:cols w:num="1" w:sep="0" w:space="720" w:equalWidth="1"/>
          <w:docGrid w:linePitch="360"/>
        </w:sectPr>
      </w:pPr>
      <w:r>
        <w:rPr>
          <w:rFonts w:hint="eastAsia" w:ascii="宋体" w:hAnsi="宋体"/>
          <w:color w:val="auto"/>
          <w:sz w:val="32"/>
          <w:highlight w:val="none"/>
        </w:rPr>
        <w:t xml:space="preserve">二〇二</w:t>
      </w:r>
      <w:r>
        <w:rPr>
          <w:rFonts w:hint="eastAsia" w:ascii="宋体" w:hAnsi="宋体"/>
          <w:color w:val="auto"/>
          <w:sz w:val="32"/>
          <w:highlight w:val="none"/>
          <w:lang w:val="en-US" w:eastAsia="zh-CN"/>
        </w:rPr>
        <w:t xml:space="preserve">五</w:t>
      </w:r>
      <w:r>
        <w:rPr>
          <w:rFonts w:hint="eastAsia" w:ascii="宋体" w:hAnsi="宋体"/>
          <w:color w:val="auto"/>
          <w:sz w:val="32"/>
          <w:highlight w:val="none"/>
        </w:rPr>
        <w:t xml:space="preserve">年</w:t>
      </w:r>
      <w:r>
        <w:rPr>
          <w:rFonts w:hint="eastAsia" w:ascii="宋体" w:hAnsi="宋体"/>
          <w:color w:val="auto"/>
          <w:sz w:val="32"/>
          <w:highlight w:val="none"/>
          <w:lang w:val="en-US" w:eastAsia="zh-CN"/>
        </w:rPr>
        <w:t xml:space="preserve">十</w:t>
      </w:r>
      <w:r>
        <w:rPr>
          <w:rFonts w:hint="eastAsia" w:ascii="宋体" w:hAnsi="宋体"/>
          <w:color w:val="auto"/>
          <w:sz w:val="32"/>
          <w:highlight w:val="none"/>
        </w:rPr>
        <w:t xml:space="preserve">月</w:t>
      </w:r>
      <w:r/>
    </w:p>
    <w:p>
      <w:pPr>
        <w:jc w:val="center"/>
        <w:rPr>
          <w:rStyle w:val="953"/>
          <w:rFonts w:eastAsia="黑体"/>
          <w:bCs/>
          <w:color w:val="auto"/>
          <w:sz w:val="48"/>
          <w:highlight w:val="none"/>
        </w:rPr>
      </w:pPr>
      <w:r>
        <w:rPr>
          <w:rStyle w:val="953"/>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951"/>
        <w:keepLines w:val="0"/>
        <w:keepNext w:val="0"/>
        <w:pageBreakBefore w:val="0"/>
        <w:spacing w:line="360" w:lineRule="auto"/>
        <w:widowControl w:val="off"/>
        <w:tabs>
          <w:tab w:val="right" w:pos="8306" w:leader="dot"/>
        </w:tabs>
        <w:rPr>
          <w:color w:val="auto"/>
          <w:sz w:val="28"/>
          <w:szCs w:val="24"/>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_Toc23348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 xml:space="preserve">第一章 报价邀请函</w:t>
      </w:r>
      <w:r>
        <w:rPr>
          <w:color w:val="auto"/>
          <w:sz w:val="28"/>
          <w:szCs w:val="24"/>
        </w:rPr>
        <w:tab/>
      </w:r>
      <w:r>
        <w:rPr>
          <w:color w:val="auto"/>
          <w:sz w:val="28"/>
          <w:szCs w:val="24"/>
        </w:rPr>
        <w:fldChar w:fldCharType="begin"/>
      </w:r>
      <w:r>
        <w:rPr>
          <w:color w:val="auto"/>
          <w:sz w:val="28"/>
          <w:szCs w:val="24"/>
        </w:rPr>
        <w:instrText xml:space="preserve"> PAGEREF _Toc23348 \h </w:instrText>
      </w:r>
      <w:r>
        <w:rPr>
          <w:color w:val="auto"/>
          <w:sz w:val="28"/>
          <w:szCs w:val="24"/>
        </w:rPr>
        <w:fldChar w:fldCharType="separate"/>
      </w:r>
      <w:r>
        <w:rPr>
          <w:color w:val="auto"/>
          <w:sz w:val="28"/>
          <w:szCs w:val="24"/>
        </w:rPr>
        <w:t xml:space="preserve">- 1 -</w:t>
      </w:r>
      <w:r>
        <w:rPr>
          <w:color w:val="auto"/>
          <w:sz w:val="28"/>
          <w:szCs w:val="24"/>
        </w:rPr>
        <w:fldChar w:fldCharType="end"/>
      </w:r>
      <w:r>
        <w:rPr>
          <w:rFonts w:hint="eastAsia" w:ascii="黑体" w:hAnsi="黑体" w:eastAsia="黑体" w:cs="黑体"/>
          <w:color w:val="auto"/>
          <w:sz w:val="28"/>
          <w:szCs w:val="44"/>
          <w:highlight w:val="none"/>
        </w:rPr>
        <w:fldChar w:fldCharType="end"/>
      </w:r>
      <w:r/>
    </w:p>
    <w:p>
      <w:pPr>
        <w:pStyle w:val="951"/>
        <w:keepLines w:val="0"/>
        <w:keepNext w:val="0"/>
        <w:pageBreakBefore w:val="0"/>
        <w:spacing w:line="360" w:lineRule="auto"/>
        <w:widowControl w:val="off"/>
        <w:tabs>
          <w:tab w:val="right" w:pos="8306" w:leader="dot"/>
        </w:tabs>
        <w:rPr>
          <w:color w:val="auto"/>
          <w:sz w:val="28"/>
          <w:szCs w:val="24"/>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_Toc17720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 xml:space="preserve">第二章 供应商须知</w:t>
      </w:r>
      <w:r>
        <w:rPr>
          <w:color w:val="auto"/>
          <w:sz w:val="28"/>
          <w:szCs w:val="24"/>
        </w:rPr>
        <w:tab/>
      </w:r>
      <w:r>
        <w:rPr>
          <w:color w:val="auto"/>
          <w:sz w:val="28"/>
          <w:szCs w:val="24"/>
        </w:rPr>
        <w:fldChar w:fldCharType="begin"/>
      </w:r>
      <w:r>
        <w:rPr>
          <w:color w:val="auto"/>
          <w:sz w:val="28"/>
          <w:szCs w:val="24"/>
        </w:rPr>
        <w:instrText xml:space="preserve"> PAGEREF _Toc17720 \h </w:instrText>
      </w:r>
      <w:r>
        <w:rPr>
          <w:color w:val="auto"/>
          <w:sz w:val="28"/>
          <w:szCs w:val="24"/>
        </w:rPr>
        <w:fldChar w:fldCharType="separate"/>
      </w:r>
      <w:r>
        <w:rPr>
          <w:color w:val="auto"/>
          <w:sz w:val="28"/>
          <w:szCs w:val="24"/>
        </w:rPr>
        <w:t xml:space="preserve">- 3 -</w:t>
      </w:r>
      <w:r>
        <w:rPr>
          <w:color w:val="auto"/>
          <w:sz w:val="28"/>
          <w:szCs w:val="24"/>
        </w:rPr>
        <w:fldChar w:fldCharType="end"/>
      </w:r>
      <w:r>
        <w:rPr>
          <w:rFonts w:hint="eastAsia" w:ascii="黑体" w:hAnsi="黑体" w:eastAsia="黑体" w:cs="黑体"/>
          <w:color w:val="auto"/>
          <w:sz w:val="28"/>
          <w:szCs w:val="44"/>
          <w:highlight w:val="none"/>
        </w:rPr>
        <w:fldChar w:fldCharType="end"/>
      </w:r>
      <w:r/>
    </w:p>
    <w:p>
      <w:pPr>
        <w:pStyle w:val="951"/>
        <w:keepLines w:val="0"/>
        <w:keepNext w:val="0"/>
        <w:pageBreakBefore w:val="0"/>
        <w:spacing w:line="360" w:lineRule="auto"/>
        <w:widowControl w:val="off"/>
        <w:tabs>
          <w:tab w:val="right" w:pos="8306" w:leader="dot"/>
        </w:tabs>
        <w:rPr>
          <w:color w:val="auto"/>
          <w:sz w:val="28"/>
          <w:szCs w:val="24"/>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_Toc10803 </w:instrText>
      </w:r>
      <w:r>
        <w:rPr>
          <w:rFonts w:hint="eastAsia" w:ascii="黑体" w:hAnsi="黑体" w:eastAsia="黑体" w:cs="黑体"/>
          <w:color w:val="auto"/>
          <w:sz w:val="28"/>
          <w:szCs w:val="44"/>
          <w:highlight w:val="none"/>
        </w:rPr>
        <w:fldChar w:fldCharType="separate"/>
      </w:r>
      <w:r>
        <w:rPr>
          <w:rFonts w:hint="eastAsia" w:ascii="黑体" w:hAnsi="黑体" w:eastAsia="黑体" w:cs="Times New Roman"/>
          <w:color w:val="auto"/>
          <w:sz w:val="28"/>
          <w:szCs w:val="24"/>
          <w:highlight w:val="none"/>
        </w:rPr>
        <w:t xml:space="preserve">第三章 项目技术要求和有关说明</w:t>
      </w:r>
      <w:r>
        <w:rPr>
          <w:color w:val="auto"/>
          <w:sz w:val="28"/>
          <w:szCs w:val="24"/>
        </w:rPr>
        <w:tab/>
      </w:r>
      <w:r>
        <w:rPr>
          <w:color w:val="auto"/>
          <w:sz w:val="28"/>
          <w:szCs w:val="24"/>
        </w:rPr>
        <w:fldChar w:fldCharType="begin"/>
      </w:r>
      <w:r>
        <w:rPr>
          <w:color w:val="auto"/>
          <w:sz w:val="28"/>
          <w:szCs w:val="24"/>
        </w:rPr>
        <w:instrText xml:space="preserve"> PAGEREF _Toc10803 \h </w:instrText>
      </w:r>
      <w:r>
        <w:rPr>
          <w:color w:val="auto"/>
          <w:sz w:val="28"/>
          <w:szCs w:val="24"/>
        </w:rPr>
        <w:fldChar w:fldCharType="separate"/>
      </w:r>
      <w:r>
        <w:rPr>
          <w:color w:val="auto"/>
          <w:sz w:val="28"/>
          <w:szCs w:val="24"/>
        </w:rPr>
        <w:t xml:space="preserve">- 17 -</w:t>
      </w:r>
      <w:r>
        <w:rPr>
          <w:color w:val="auto"/>
          <w:sz w:val="28"/>
          <w:szCs w:val="24"/>
        </w:rPr>
        <w:fldChar w:fldCharType="end"/>
      </w:r>
      <w:r>
        <w:rPr>
          <w:rFonts w:hint="eastAsia" w:ascii="黑体" w:hAnsi="黑体" w:eastAsia="黑体" w:cs="黑体"/>
          <w:color w:val="auto"/>
          <w:sz w:val="28"/>
          <w:szCs w:val="44"/>
          <w:highlight w:val="none"/>
        </w:rPr>
        <w:fldChar w:fldCharType="end"/>
      </w:r>
      <w:r/>
    </w:p>
    <w:p>
      <w:pPr>
        <w:pStyle w:val="951"/>
        <w:keepLines w:val="0"/>
        <w:keepNext w:val="0"/>
        <w:pageBreakBefore w:val="0"/>
        <w:spacing w:line="360" w:lineRule="auto"/>
        <w:widowControl w:val="off"/>
        <w:tabs>
          <w:tab w:val="right" w:pos="8306" w:leader="dot"/>
        </w:tabs>
        <w:rPr>
          <w:color w:val="auto"/>
          <w:sz w:val="28"/>
          <w:szCs w:val="24"/>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_Toc16158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 xml:space="preserve">第四章 </w:t>
      </w:r>
      <w:r>
        <w:rPr>
          <w:rFonts w:hint="eastAsia" w:ascii="黑体" w:hAnsi="黑体" w:eastAsia="黑体"/>
          <w:bCs/>
          <w:color w:val="auto"/>
          <w:sz w:val="28"/>
          <w:szCs w:val="24"/>
          <w:highlight w:val="none"/>
        </w:rPr>
        <w:t xml:space="preserve">评审方法和标准</w:t>
      </w:r>
      <w:r>
        <w:rPr>
          <w:color w:val="auto"/>
          <w:sz w:val="28"/>
          <w:szCs w:val="24"/>
        </w:rPr>
        <w:tab/>
      </w:r>
      <w:r>
        <w:rPr>
          <w:color w:val="auto"/>
          <w:sz w:val="28"/>
          <w:szCs w:val="24"/>
        </w:rPr>
        <w:fldChar w:fldCharType="begin"/>
      </w:r>
      <w:r>
        <w:rPr>
          <w:color w:val="auto"/>
          <w:sz w:val="28"/>
          <w:szCs w:val="24"/>
        </w:rPr>
        <w:instrText xml:space="preserve"> PAGEREF _Toc16158 \h </w:instrText>
      </w:r>
      <w:r>
        <w:rPr>
          <w:color w:val="auto"/>
          <w:sz w:val="28"/>
          <w:szCs w:val="24"/>
        </w:rPr>
        <w:fldChar w:fldCharType="separate"/>
      </w:r>
      <w:r>
        <w:rPr>
          <w:color w:val="auto"/>
          <w:sz w:val="28"/>
          <w:szCs w:val="24"/>
        </w:rPr>
        <w:t xml:space="preserve">- 26 -</w:t>
      </w:r>
      <w:r>
        <w:rPr>
          <w:color w:val="auto"/>
          <w:sz w:val="28"/>
          <w:szCs w:val="24"/>
        </w:rPr>
        <w:fldChar w:fldCharType="end"/>
      </w:r>
      <w:r>
        <w:rPr>
          <w:rFonts w:hint="eastAsia" w:ascii="黑体" w:hAnsi="黑体" w:eastAsia="黑体" w:cs="黑体"/>
          <w:color w:val="auto"/>
          <w:sz w:val="28"/>
          <w:szCs w:val="44"/>
          <w:highlight w:val="none"/>
        </w:rPr>
        <w:fldChar w:fldCharType="end"/>
      </w:r>
      <w:r/>
    </w:p>
    <w:p>
      <w:pPr>
        <w:pStyle w:val="951"/>
        <w:keepLines w:val="0"/>
        <w:keepNext w:val="0"/>
        <w:pageBreakBefore w:val="0"/>
        <w:spacing w:line="360" w:lineRule="auto"/>
        <w:widowControl w:val="off"/>
        <w:tabs>
          <w:tab w:val="right" w:pos="8306" w:leader="dot"/>
        </w:tabs>
        <w:rPr>
          <w:color w:val="auto"/>
          <w:sz w:val="28"/>
          <w:szCs w:val="24"/>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_Toc28152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 xml:space="preserve">第五章 政府采购合同（格式）</w:t>
      </w:r>
      <w:r>
        <w:rPr>
          <w:color w:val="auto"/>
          <w:sz w:val="28"/>
          <w:szCs w:val="24"/>
        </w:rPr>
        <w:tab/>
      </w:r>
      <w:r>
        <w:rPr>
          <w:color w:val="auto"/>
          <w:sz w:val="28"/>
          <w:szCs w:val="24"/>
        </w:rPr>
        <w:fldChar w:fldCharType="begin"/>
      </w:r>
      <w:r>
        <w:rPr>
          <w:color w:val="auto"/>
          <w:sz w:val="28"/>
          <w:szCs w:val="24"/>
        </w:rPr>
        <w:instrText xml:space="preserve"> PAGEREF _Toc28152 \h </w:instrText>
      </w:r>
      <w:r>
        <w:rPr>
          <w:color w:val="auto"/>
          <w:sz w:val="28"/>
          <w:szCs w:val="24"/>
        </w:rPr>
        <w:fldChar w:fldCharType="separate"/>
      </w:r>
      <w:r>
        <w:rPr>
          <w:color w:val="auto"/>
          <w:sz w:val="28"/>
          <w:szCs w:val="24"/>
        </w:rPr>
        <w:t xml:space="preserve">- 31 -</w:t>
      </w:r>
      <w:r>
        <w:rPr>
          <w:color w:val="auto"/>
          <w:sz w:val="28"/>
          <w:szCs w:val="24"/>
        </w:rPr>
        <w:fldChar w:fldCharType="end"/>
      </w:r>
      <w:r>
        <w:rPr>
          <w:rFonts w:hint="eastAsia" w:ascii="黑体" w:hAnsi="黑体" w:eastAsia="黑体" w:cs="黑体"/>
          <w:color w:val="auto"/>
          <w:sz w:val="28"/>
          <w:szCs w:val="44"/>
          <w:highlight w:val="none"/>
        </w:rPr>
        <w:fldChar w:fldCharType="end"/>
      </w:r>
      <w:r/>
    </w:p>
    <w:p>
      <w:pPr>
        <w:pStyle w:val="951"/>
        <w:keepLines w:val="0"/>
        <w:keepNext w:val="0"/>
        <w:pageBreakBefore w:val="0"/>
        <w:spacing w:line="360" w:lineRule="auto"/>
        <w:widowControl w:val="off"/>
        <w:tabs>
          <w:tab w:val="right" w:pos="8306" w:leader="dot"/>
        </w:tabs>
        <w:rPr>
          <w:color w:val="auto"/>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_Toc11529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 xml:space="preserve">第六章 响应文件内容与格式</w:t>
      </w:r>
      <w:r>
        <w:rPr>
          <w:color w:val="auto"/>
          <w:sz w:val="28"/>
          <w:szCs w:val="24"/>
        </w:rPr>
        <w:tab/>
      </w:r>
      <w:r>
        <w:rPr>
          <w:color w:val="auto"/>
          <w:sz w:val="28"/>
          <w:szCs w:val="24"/>
        </w:rPr>
        <w:fldChar w:fldCharType="begin"/>
      </w:r>
      <w:r>
        <w:rPr>
          <w:color w:val="auto"/>
          <w:sz w:val="28"/>
          <w:szCs w:val="24"/>
        </w:rPr>
        <w:instrText xml:space="preserve"> PAGEREF _Toc11529 \h </w:instrText>
      </w:r>
      <w:r>
        <w:rPr>
          <w:color w:val="auto"/>
          <w:sz w:val="28"/>
          <w:szCs w:val="24"/>
        </w:rPr>
        <w:fldChar w:fldCharType="separate"/>
      </w:r>
      <w:r>
        <w:rPr>
          <w:color w:val="auto"/>
          <w:sz w:val="28"/>
          <w:szCs w:val="24"/>
        </w:rPr>
        <w:t xml:space="preserve">- 40 -</w:t>
      </w:r>
      <w:r>
        <w:rPr>
          <w:color w:val="auto"/>
          <w:sz w:val="28"/>
          <w:szCs w:val="24"/>
        </w:rPr>
        <w:fldChar w:fldCharType="end"/>
      </w:r>
      <w:r>
        <w:rPr>
          <w:rFonts w:hint="eastAsia" w:ascii="黑体" w:hAnsi="黑体" w:eastAsia="黑体" w:cs="黑体"/>
          <w:color w:val="auto"/>
          <w:sz w:val="28"/>
          <w:szCs w:val="44"/>
          <w:highlight w:val="none"/>
        </w:rPr>
        <w:fldChar w:fldCharType="end"/>
      </w:r>
      <w:r/>
    </w:p>
    <w:p>
      <w:pPr>
        <w:rPr>
          <w:rFonts w:hint="eastAsia" w:ascii="黑体" w:hAnsi="黑体" w:eastAsia="黑体"/>
          <w:color w:val="auto"/>
          <w:sz w:val="28"/>
          <w:highlight w:val="none"/>
        </w:rPr>
      </w:pPr>
      <w:r>
        <w:rPr>
          <w:rFonts w:hint="eastAsia" w:ascii="黑体" w:hAnsi="黑体" w:eastAsia="黑体" w:cs="黑体"/>
          <w:color w:val="auto"/>
          <w:szCs w:val="32"/>
          <w:highlight w:val="none"/>
        </w:rPr>
        <w:fldChar w:fldCharType="end"/>
      </w:r>
      <w:bookmarkStart w:id="0" w:name="_Toc30211"/>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left"/>
        <w:rPr>
          <w:rFonts w:hint="eastAsia" w:ascii="黑体" w:hAnsi="黑体" w:eastAsia="黑体"/>
          <w:color w:val="auto"/>
          <w:sz w:val="28"/>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bookmarkStart w:id="1" w:name="_Toc23348"/>
      <w:r>
        <w:rPr>
          <w:rFonts w:hint="eastAsia" w:ascii="黑体" w:hAnsi="黑体" w:eastAsia="黑体"/>
          <w:color w:val="auto"/>
          <w:sz w:val="28"/>
          <w:highlight w:val="none"/>
        </w:rPr>
        <w:t xml:space="preserve">第一章 报价邀请函</w:t>
      </w:r>
      <w:bookmarkEnd w:id="0"/>
      <w:r/>
      <w:bookmarkEnd w:id="1"/>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8"/>
          <w:highlight w:val="none"/>
          <w:lang w:eastAsia="zh-CN"/>
        </w:rPr>
        <w:t xml:space="preserve">本项目磋商公告已在江苏政府采购网发布，现对本项目进行竞争性磋商采购，欢迎符合相关条件的供应商参与报价并提请遵守下表中的相关事项</w:t>
      </w:r>
      <w:r>
        <w:rPr>
          <w:rFonts w:hint="eastAsia" w:ascii="宋体" w:hAnsi="宋体"/>
          <w:bCs/>
          <w:color w:val="auto"/>
          <w:sz w:val="24"/>
          <w:szCs w:val="24"/>
          <w:highlight w:val="none"/>
        </w:rPr>
        <w:t xml:space="preserve">：</w:t>
      </w:r>
      <w:r/>
    </w:p>
    <w:tbl>
      <w:tblPr>
        <w:tblStyle w:val="948"/>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6" w:type="dxa"/>
          <w:right w:w="108" w:type="dxa"/>
          <w:bottom w:w="113" w:type="dxa"/>
        </w:tblCellMar>
        <w:tblLook w:val="04A0" w:firstRow="1" w:lastRow="0" w:firstColumn="1" w:lastColumn="0" w:noHBand="0" w:noVBand="1"/>
      </w:tblPr>
      <w:tblGrid>
        <w:gridCol w:w="862"/>
        <w:gridCol w:w="1006"/>
        <w:gridCol w:w="1974"/>
        <w:gridCol w:w="5838"/>
      </w:tblGrid>
      <w:tr>
        <w:trPr>
          <w:jc w:val="center"/>
          <w:trHeight w:val="454"/>
        </w:trPr>
        <w:tc>
          <w:tcPr>
            <w:tcW w:w="862" w:type="dxa"/>
            <w:vAlign w:val="center"/>
            <w:textDirection w:val="lrTb"/>
            <w:noWrap w:val="false"/>
          </w:tcPr>
          <w:p>
            <w:pPr>
              <w:jc w:val="center"/>
              <w:keepLines w:val="0"/>
              <w:keepNext w:val="0"/>
              <w:pageBreakBefore w:val="0"/>
              <w:spacing w:line="430" w:lineRule="atLeast"/>
              <w:widowControl w:val="off"/>
              <w:rPr>
                <w:rFonts w:ascii="宋体" w:hAnsi="宋体"/>
                <w:b/>
                <w:bCs w:val="0"/>
                <w:color w:val="auto"/>
                <w:sz w:val="24"/>
                <w:szCs w:val="24"/>
                <w:highlight w:val="none"/>
              </w:rPr>
            </w:pPr>
            <w:r>
              <w:rPr>
                <w:rFonts w:hint="eastAsia" w:ascii="宋体" w:hAnsi="宋体"/>
                <w:b/>
                <w:bCs w:val="0"/>
                <w:color w:val="auto"/>
                <w:sz w:val="24"/>
                <w:szCs w:val="24"/>
                <w:highlight w:val="none"/>
              </w:rPr>
              <w:t xml:space="preserve">序号</w:t>
            </w:r>
            <w:r/>
          </w:p>
        </w:tc>
        <w:tc>
          <w:tcPr>
            <w:tcW w:w="1006" w:type="dxa"/>
            <w:vAlign w:val="center"/>
            <w:textDirection w:val="lrTb"/>
            <w:noWrap w:val="false"/>
          </w:tcPr>
          <w:p>
            <w:pPr>
              <w:jc w:val="center"/>
              <w:keepLines w:val="0"/>
              <w:keepNext w:val="0"/>
              <w:pageBreakBefore w:val="0"/>
              <w:spacing w:line="430" w:lineRule="atLeast"/>
              <w:widowControl w:val="off"/>
              <w:rPr>
                <w:rFonts w:ascii="宋体" w:hAnsi="宋体"/>
                <w:b/>
                <w:bCs w:val="0"/>
                <w:color w:val="auto"/>
                <w:sz w:val="24"/>
                <w:szCs w:val="24"/>
                <w:highlight w:val="none"/>
              </w:rPr>
            </w:pPr>
            <w:r>
              <w:rPr>
                <w:rFonts w:hint="eastAsia" w:ascii="宋体" w:hAnsi="宋体"/>
                <w:b/>
                <w:bCs w:val="0"/>
                <w:color w:val="auto"/>
                <w:sz w:val="24"/>
                <w:szCs w:val="24"/>
                <w:highlight w:val="none"/>
              </w:rPr>
              <w:t xml:space="preserve">事项</w:t>
            </w:r>
            <w:r/>
          </w:p>
        </w:tc>
        <w:tc>
          <w:tcPr>
            <w:gridSpan w:val="2"/>
            <w:tcW w:w="7812" w:type="dxa"/>
            <w:vAlign w:val="center"/>
            <w:textDirection w:val="lrTb"/>
            <w:noWrap w:val="false"/>
          </w:tcPr>
          <w:p>
            <w:pPr>
              <w:jc w:val="center"/>
              <w:keepLines w:val="0"/>
              <w:keepNext w:val="0"/>
              <w:pageBreakBefore w:val="0"/>
              <w:spacing w:line="430" w:lineRule="atLeast"/>
              <w:widowControl w:val="off"/>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内</w:t>
            </w:r>
            <w:r>
              <w:rPr>
                <w:rFonts w:ascii="宋体" w:hAnsi="宋体"/>
                <w:b/>
                <w:bCs w:val="0"/>
                <w:color w:val="auto"/>
                <w:sz w:val="24"/>
                <w:szCs w:val="24"/>
                <w:highlight w:val="none"/>
              </w:rPr>
              <w:t xml:space="preserve">    </w:t>
            </w:r>
            <w:r>
              <w:rPr>
                <w:rFonts w:hint="eastAsia" w:ascii="宋体" w:hAnsi="宋体"/>
                <w:b/>
                <w:bCs w:val="0"/>
                <w:color w:val="auto"/>
                <w:sz w:val="24"/>
                <w:szCs w:val="24"/>
                <w:highlight w:val="none"/>
              </w:rPr>
              <w:t xml:space="preserve">容</w:t>
            </w:r>
            <w:r/>
          </w:p>
        </w:tc>
      </w:tr>
      <w:tr>
        <w:trPr>
          <w:jc w:val="center"/>
          <w:trHeight w:val="3707"/>
        </w:trPr>
        <w:tc>
          <w:tcPr>
            <w:tcW w:w="862" w:type="dxa"/>
            <w:vAlign w:val="center"/>
            <w:textDirection w:val="lrTb"/>
            <w:noWrap w:val="false"/>
          </w:tcPr>
          <w:p>
            <w:pPr>
              <w:jc w:val="center"/>
              <w:keepLines w:val="0"/>
              <w:keepNext w:val="0"/>
              <w:pageBreakBefore w:val="0"/>
              <w:spacing w:line="430" w:lineRule="atLeast"/>
              <w:widowControl w:val="off"/>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1006" w:type="dxa"/>
            <w:vAlign w:val="center"/>
            <w:textDirection w:val="lrTb"/>
            <w:noWrap w:val="false"/>
          </w:tcPr>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项目</w:t>
            </w:r>
            <w:r/>
          </w:p>
          <w:p>
            <w:pPr>
              <w:pStyle w:val="955"/>
              <w:jc w:val="center"/>
              <w:keepLines w:val="0"/>
              <w:keepNext w:val="0"/>
              <w:pageBreakBefore w:val="0"/>
              <w:spacing w:line="430" w:lineRule="atLeast"/>
              <w:widowControl w:val="off"/>
              <w:rPr>
                <w:rFonts w:hint="eastAsia" w:ascii="宋体" w:hAnsi="宋体"/>
                <w:bCs/>
                <w:color w:val="auto"/>
                <w:sz w:val="24"/>
                <w:szCs w:val="24"/>
                <w:highlight w:val="none"/>
              </w:rPr>
            </w:pPr>
            <w:r>
              <w:rPr>
                <w:rFonts w:hint="eastAsia"/>
                <w:b/>
                <w:bCs/>
                <w:color w:val="auto"/>
                <w:highlight w:val="none"/>
                <w:lang w:val="zh-CN"/>
              </w:rPr>
              <w:t xml:space="preserve">信息</w:t>
            </w:r>
            <w:r/>
          </w:p>
        </w:tc>
        <w:tc>
          <w:tcPr>
            <w:gridSpan w:val="2"/>
            <w:tcW w:w="7812" w:type="dxa"/>
            <w:vAlign w:val="center"/>
            <w:textDirection w:val="lrTb"/>
            <w:noWrap w:val="false"/>
          </w:tcPr>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1.项目名称：</w:t>
            </w:r>
            <w:r>
              <w:rPr>
                <w:rFonts w:hint="eastAsia" w:ascii="宋体" w:hAnsi="宋体"/>
                <w:bCs/>
                <w:color w:val="auto"/>
                <w:sz w:val="24"/>
                <w:szCs w:val="24"/>
                <w:highlight w:val="none"/>
                <w:lang w:eastAsia="zh-CN"/>
              </w:rPr>
              <w:t xml:space="preserve">杨巷镇生活污水“全收集全处理”提质提标工作前期服务项目</w:t>
            </w:r>
            <w:r>
              <w:rPr>
                <w:rFonts w:hint="eastAsia" w:ascii="宋体" w:hAnsi="宋体"/>
                <w:bCs/>
                <w:color w:val="auto"/>
                <w:sz w:val="24"/>
                <w:szCs w:val="24"/>
                <w:highlight w:val="none"/>
                <w:lang w:val="en-US" w:eastAsia="zh-CN"/>
              </w:rPr>
              <w:t xml:space="preserve"> </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2.项目编号: </w:t>
            </w:r>
            <w:r>
              <w:rPr>
                <w:rFonts w:hint="eastAsia" w:ascii="宋体" w:hAnsi="宋体"/>
                <w:bCs/>
                <w:color w:val="auto"/>
                <w:sz w:val="24"/>
                <w:szCs w:val="24"/>
                <w:highlight w:val="none"/>
                <w:lang w:eastAsia="zh-CN"/>
              </w:rPr>
              <w:t xml:space="preserve">JSZC-320282-JSXY-C2025-0009</w:t>
            </w:r>
            <w:r>
              <w:rPr>
                <w:rFonts w:hint="eastAsia" w:ascii="宋体" w:hAnsi="宋体"/>
                <w:bCs/>
                <w:color w:val="auto"/>
                <w:sz w:val="24"/>
                <w:szCs w:val="24"/>
                <w:highlight w:val="none"/>
                <w:lang w:val="en-US" w:eastAsia="zh-CN"/>
              </w:rPr>
              <w:t xml:space="preserve">                            </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3.采购方式：竞争性磋商</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4.评审方法：综合评分法</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5.预算金额：186.88万元</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6.最高限价：同预算金额</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7.项目类型：服务类</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8.本项目不接受联合体，不接受分包</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9.集中考察或答疑：无。</w:t>
            </w:r>
            <w:r/>
          </w:p>
        </w:tc>
      </w:tr>
      <w:tr>
        <w:trPr>
          <w:jc w:val="center"/>
          <w:trHeight w:val="2386"/>
        </w:trPr>
        <w:tc>
          <w:tcPr>
            <w:tcW w:w="862" w:type="dxa"/>
            <w:vAlign w:val="center"/>
            <w:textDirection w:val="lrTb"/>
            <w:noWrap w:val="false"/>
          </w:tcPr>
          <w:p>
            <w:pPr>
              <w:jc w:val="center"/>
              <w:keepLines w:val="0"/>
              <w:keepNext w:val="0"/>
              <w:pageBreakBefore w:val="0"/>
              <w:spacing w:line="430" w:lineRule="atLeast"/>
              <w:widowControl w:val="off"/>
              <w:rPr>
                <w:rFonts w:ascii="宋体" w:hAnsi="宋体"/>
                <w:bCs/>
                <w:color w:val="auto"/>
                <w:sz w:val="24"/>
                <w:szCs w:val="24"/>
                <w:highlight w:val="none"/>
              </w:rPr>
            </w:pPr>
            <w:r/>
            <w:bookmarkStart w:id="2" w:name="_Toc29543"/>
            <w:r>
              <w:rPr>
                <w:rFonts w:ascii="宋体" w:hAnsi="宋体"/>
                <w:bCs/>
                <w:color w:val="auto"/>
                <w:sz w:val="24"/>
                <w:szCs w:val="24"/>
                <w:highlight w:val="none"/>
              </w:rPr>
              <w:t xml:space="preserve">2</w:t>
            </w:r>
            <w:r/>
          </w:p>
        </w:tc>
        <w:tc>
          <w:tcPr>
            <w:tcW w:w="1006" w:type="dxa"/>
            <w:vAlign w:val="center"/>
            <w:textDirection w:val="lrTb"/>
            <w:noWrap w:val="false"/>
          </w:tcPr>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资格</w:t>
            </w:r>
            <w:r/>
          </w:p>
          <w:p>
            <w:pPr>
              <w:pStyle w:val="955"/>
              <w:jc w:val="center"/>
              <w:keepLines w:val="0"/>
              <w:keepNext w:val="0"/>
              <w:pageBreakBefore w:val="0"/>
              <w:spacing w:line="430" w:lineRule="atLeast"/>
              <w:widowControl w:val="off"/>
              <w:rPr>
                <w:rFonts w:hint="eastAsia"/>
                <w:color w:val="auto"/>
                <w:highlight w:val="none"/>
                <w:lang w:val="zh-CN"/>
              </w:rPr>
            </w:pPr>
            <w:r>
              <w:rPr>
                <w:rFonts w:hint="eastAsia"/>
                <w:b/>
                <w:bCs/>
                <w:color w:val="auto"/>
                <w:highlight w:val="none"/>
                <w:lang w:val="zh-CN"/>
              </w:rPr>
              <w:t xml:space="preserve">条件</w:t>
            </w:r>
            <w:r/>
          </w:p>
        </w:tc>
        <w:tc>
          <w:tcPr>
            <w:gridSpan w:val="2"/>
            <w:tcW w:w="7812" w:type="dxa"/>
            <w:vAlign w:val="center"/>
            <w:textDirection w:val="lrTb"/>
            <w:noWrap w:val="false"/>
          </w:tcPr>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1.满足《中华人民共和国政府采购法》第二十二条规定；</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2.落实政府采购政策需满足的资格要求：</w:t>
            </w:r>
            <w:r/>
          </w:p>
          <w:p>
            <w:pPr>
              <w:ind w:firstLine="240"/>
              <w:keepLines w:val="0"/>
              <w:keepNext w:val="0"/>
              <w:pageBreakBefore w:val="0"/>
              <w:spacing w:line="430" w:lineRule="atLeast"/>
              <w:widowControl w:val="off"/>
              <w:rPr>
                <w:rFonts w:hint="eastAsia" w:ascii="宋体" w:hAnsi="宋体" w:cs="Times New Roman"/>
                <w:bCs/>
                <w:color w:val="auto"/>
                <w:sz w:val="24"/>
                <w:szCs w:val="24"/>
                <w:highlight w:val="none"/>
                <w:lang w:val="en-US" w:eastAsia="zh-CN"/>
              </w:rPr>
            </w:pPr>
            <w:r>
              <w:rPr>
                <w:rFonts w:hint="eastAsia" w:ascii="宋体" w:hAnsi="宋体" w:cs="宋体"/>
                <w:bCs/>
                <w:color w:val="auto"/>
                <w:sz w:val="24"/>
                <w:szCs w:val="24"/>
              </w:rPr>
              <w:t xml:space="preserve">2.1中小企业政策：</w:t>
            </w:r>
            <w:r>
              <w:rPr>
                <w:rFonts w:hint="eastAsia" w:ascii="宋体" w:hAnsi="宋体"/>
                <w:b/>
                <w:bCs w:val="0"/>
                <w:color w:val="auto"/>
                <w:sz w:val="24"/>
                <w:szCs w:val="24"/>
                <w:highlight w:val="none"/>
                <w:lang w:val="en-US" w:eastAsia="zh-CN"/>
              </w:rPr>
              <w:t xml:space="preserve">本项目专门面</w:t>
            </w:r>
            <w:r>
              <w:rPr>
                <w:rFonts w:hint="eastAsia" w:ascii="宋体" w:hAnsi="宋体" w:cs="Times New Roman"/>
                <w:b/>
                <w:bCs w:val="0"/>
                <w:color w:val="auto"/>
                <w:sz w:val="24"/>
                <w:szCs w:val="24"/>
                <w:highlight w:val="none"/>
                <w:lang w:val="en-US" w:eastAsia="zh-CN"/>
              </w:rPr>
              <w:t xml:space="preserve">向中小企业采购</w:t>
            </w:r>
            <w:r>
              <w:rPr>
                <w:rFonts w:hint="eastAsia" w:ascii="宋体" w:hAnsi="宋体" w:cs="Times New Roman"/>
                <w:bCs/>
                <w:color w:val="auto"/>
                <w:sz w:val="24"/>
                <w:szCs w:val="24"/>
                <w:highlight w:val="none"/>
                <w:lang w:val="en-US" w:eastAsia="zh-CN"/>
              </w:rPr>
              <w:t xml:space="preserve">；</w:t>
            </w:r>
            <w:r/>
          </w:p>
          <w:p>
            <w:pPr>
              <w:ind w:firstLine="240"/>
              <w:keepLines w:val="0"/>
              <w:keepNext w:val="0"/>
              <w:pageBreakBefore w:val="0"/>
              <w:spacing w:line="430" w:lineRule="atLeast"/>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2.2通用资格要求：在“信用中国”网站、中国政府采购网查询，无被列入失信被执行人、重大税收违法失信主体、政府采购严重失信行为记录名单。</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3.本项目的特定资格要求：</w:t>
            </w:r>
            <w:r>
              <w:rPr>
                <w:rFonts w:hint="eastAsia" w:ascii="宋体" w:hAnsi="宋体" w:cs="Times New Roman"/>
                <w:b/>
                <w:bCs w:val="0"/>
                <w:color w:val="auto"/>
                <w:sz w:val="24"/>
                <w:szCs w:val="24"/>
                <w:highlight w:val="none"/>
                <w:lang w:val="en-US" w:eastAsia="zh-CN"/>
              </w:rPr>
              <w:t xml:space="preserve">供应商具有测绘乙级及以上资质</w:t>
            </w:r>
            <w:r>
              <w:rPr>
                <w:rFonts w:hint="eastAsia" w:ascii="宋体" w:hAnsi="宋体" w:cs="Times New Roman"/>
                <w:bCs/>
                <w:color w:val="auto"/>
                <w:sz w:val="24"/>
                <w:szCs w:val="24"/>
                <w:highlight w:val="none"/>
                <w:lang w:val="en-US" w:eastAsia="zh-CN"/>
              </w:rPr>
              <w:t xml:space="preserve">。</w:t>
            </w:r>
            <w:r/>
          </w:p>
        </w:tc>
      </w:tr>
      <w:tr>
        <w:trPr>
          <w:jc w:val="center"/>
          <w:trHeight w:val="90"/>
        </w:trPr>
        <w:tc>
          <w:tcPr>
            <w:tcW w:w="862" w:type="dxa"/>
            <w:vAlign w:val="center"/>
            <w:textDirection w:val="lrTb"/>
            <w:noWrap w:val="false"/>
          </w:tcPr>
          <w:p>
            <w:pPr>
              <w:jc w:val="center"/>
              <w:keepLines w:val="0"/>
              <w:keepNext w:val="0"/>
              <w:pageBreakBefore w:val="0"/>
              <w:spacing w:line="430" w:lineRule="atLeast"/>
              <w:widowControl w:val="off"/>
              <w:rPr>
                <w:rFonts w:ascii="宋体" w:hAnsi="宋体"/>
                <w:bCs/>
                <w:color w:val="auto"/>
                <w:sz w:val="24"/>
                <w:szCs w:val="24"/>
                <w:highlight w:val="none"/>
                <w:lang w:val="en-US" w:eastAsia="zh-CN" w:bidi="ar-SA"/>
              </w:rPr>
            </w:pPr>
            <w:r>
              <w:rPr>
                <w:rFonts w:ascii="宋体" w:hAnsi="宋体"/>
                <w:bCs/>
                <w:color w:val="auto"/>
                <w:sz w:val="24"/>
                <w:szCs w:val="24"/>
                <w:highlight w:val="none"/>
              </w:rPr>
              <w:t xml:space="preserve">3</w:t>
            </w:r>
            <w:r/>
          </w:p>
        </w:tc>
        <w:tc>
          <w:tcPr>
            <w:tcW w:w="1006" w:type="dxa"/>
            <w:vAlign w:val="center"/>
            <w:textDirection w:val="lrTb"/>
            <w:noWrap w:val="false"/>
          </w:tcPr>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磋商</w:t>
            </w:r>
            <w:r/>
          </w:p>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文件</w:t>
            </w:r>
            <w:r/>
          </w:p>
        </w:tc>
        <w:tc>
          <w:tcPr>
            <w:gridSpan w:val="2"/>
            <w:tcW w:w="7812" w:type="dxa"/>
            <w:vAlign w:val="center"/>
            <w:textDirection w:val="lrTb"/>
            <w:noWrap w:val="false"/>
          </w:tcPr>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1.获取时间：本磋商文件有效获取期限以本项目采购公告中规定的获取磋商文件时间为准。</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获取地点：请有报价意向的供应商在磋商文件有效获取期内及时至“江苏省政府采购（苏采云）平台”（http://jszfcg.jscz.gov.cn/jszc/login）获取。在磋商文件有效获取期限内，从“江苏省政府采购（苏采云）平台”获取的磋商文件，视为依法获取的磋商文件。</w:t>
            </w:r>
            <w:r/>
          </w:p>
          <w:p>
            <w:pPr>
              <w:keepLines w:val="0"/>
              <w:keepNext w:val="0"/>
              <w:pageBreakBefore w:val="0"/>
              <w:spacing w:line="430" w:lineRule="atLeast"/>
              <w:widowControl w:val="off"/>
              <w:rPr>
                <w:rFonts w:hint="eastAsia" w:ascii="宋体" w:hAnsi="宋体"/>
                <w:bCs/>
                <w:color w:val="auto"/>
                <w:sz w:val="24"/>
                <w:szCs w:val="24"/>
                <w:highlight w:val="none"/>
                <w:lang w:val="zh-CN" w:eastAsia="zh-CN"/>
              </w:rPr>
            </w:pPr>
            <w:r>
              <w:rPr>
                <w:rFonts w:hint="eastAsia" w:ascii="宋体" w:hAnsi="宋体"/>
                <w:bCs/>
                <w:color w:val="auto"/>
                <w:sz w:val="24"/>
                <w:szCs w:val="24"/>
                <w:highlight w:val="none"/>
                <w:lang w:val="en-US" w:eastAsia="zh-CN"/>
              </w:rPr>
              <w:t xml:space="preserve">3.售价：本项目磋商文件免费。</w:t>
            </w:r>
            <w:r/>
          </w:p>
        </w:tc>
      </w:tr>
      <w:tr>
        <w:trPr>
          <w:jc w:val="center"/>
          <w:trHeight w:val="719"/>
        </w:trPr>
        <w:tc>
          <w:tcPr>
            <w:tcW w:w="862" w:type="dxa"/>
            <w:vAlign w:val="center"/>
            <w:textDirection w:val="lrTb"/>
            <w:noWrap w:val="false"/>
          </w:tcPr>
          <w:p>
            <w:pPr>
              <w:jc w:val="center"/>
              <w:keepLines w:val="0"/>
              <w:keepNext w:val="0"/>
              <w:pageBreakBefore w:val="0"/>
              <w:spacing w:line="430" w:lineRule="atLeast"/>
              <w:widowControl w:val="off"/>
              <w:rPr>
                <w:rFonts w:hint="eastAsia" w:ascii="宋体" w:hAnsi="宋体"/>
                <w:bCs/>
                <w:color w:val="auto"/>
                <w:sz w:val="24"/>
                <w:szCs w:val="24"/>
                <w:highlight w:val="none"/>
                <w:lang w:val="en-US" w:eastAsia="zh-CN" w:bidi="ar-SA"/>
              </w:rPr>
            </w:pPr>
            <w:r>
              <w:rPr>
                <w:rFonts w:hint="eastAsia" w:ascii="宋体" w:hAnsi="宋体"/>
                <w:bCs/>
                <w:color w:val="auto"/>
                <w:sz w:val="24"/>
                <w:szCs w:val="24"/>
                <w:highlight w:val="none"/>
              </w:rPr>
              <w:t xml:space="preserve">4</w:t>
            </w:r>
            <w:r/>
          </w:p>
        </w:tc>
        <w:tc>
          <w:tcPr>
            <w:tcW w:w="1006" w:type="dxa"/>
            <w:vAlign w:val="center"/>
            <w:textDirection w:val="lrTb"/>
            <w:noWrap w:val="false"/>
          </w:tcPr>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响应</w:t>
            </w:r>
            <w:r/>
          </w:p>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截止</w:t>
            </w:r>
            <w:r/>
          </w:p>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时间</w:t>
            </w:r>
            <w:r/>
          </w:p>
        </w:tc>
        <w:tc>
          <w:tcPr>
            <w:gridSpan w:val="2"/>
            <w:tcW w:w="7812" w:type="dxa"/>
            <w:vAlign w:val="center"/>
            <w:textDirection w:val="lrTb"/>
            <w:noWrap w:val="false"/>
          </w:tcPr>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提交响应文件截止时间（即响应截止时间）及报价时间：详见本项目采购公告。（采购人可以按照规定，通过更正公告修改响应截止时间，供应商的所有权利和义务以及供应商受制的截止时间均应以延长后新的截止时间为准。）</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2.报价地点：“江苏省政府采购（苏采云）平台”网上开标大厅。</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3.确定成交供应商时间：评审结束后，详见成交结果公告。</w:t>
            </w:r>
            <w:r/>
          </w:p>
        </w:tc>
      </w:tr>
      <w:tr>
        <w:trPr>
          <w:jc w:val="center"/>
          <w:trHeight w:val="702"/>
        </w:trPr>
        <w:tc>
          <w:tcPr>
            <w:tcW w:w="862" w:type="dxa"/>
            <w:vAlign w:val="center"/>
            <w:textDirection w:val="lrTb"/>
            <w:noWrap w:val="false"/>
          </w:tcPr>
          <w:p>
            <w:pPr>
              <w:jc w:val="center"/>
              <w:keepLines w:val="0"/>
              <w:keepNext w:val="0"/>
              <w:pageBreakBefore w:val="0"/>
              <w:spacing w:line="430" w:lineRule="atLeast"/>
              <w:widowControl w:val="off"/>
              <w:rPr>
                <w:rFonts w:hint="eastAsia" w:ascii="宋体" w:hAnsi="宋体"/>
                <w:bCs/>
                <w:color w:val="auto"/>
                <w:sz w:val="24"/>
                <w:szCs w:val="24"/>
                <w:highlight w:val="none"/>
                <w:lang w:val="en-US" w:eastAsia="zh-CN" w:bidi="ar-SA"/>
              </w:rPr>
            </w:pPr>
            <w:r>
              <w:rPr>
                <w:rFonts w:hint="eastAsia" w:ascii="宋体" w:hAnsi="宋体"/>
                <w:bCs/>
                <w:color w:val="auto"/>
                <w:sz w:val="24"/>
                <w:szCs w:val="24"/>
                <w:highlight w:val="none"/>
              </w:rPr>
              <w:t xml:space="preserve">5</w:t>
            </w:r>
            <w:r/>
          </w:p>
        </w:tc>
        <w:tc>
          <w:tcPr>
            <w:tcW w:w="1006" w:type="dxa"/>
            <w:vAlign w:val="center"/>
            <w:textDirection w:val="lrTb"/>
            <w:noWrap w:val="false"/>
          </w:tcPr>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磋商</w:t>
            </w:r>
            <w:r/>
          </w:p>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保证金</w:t>
            </w:r>
            <w:r/>
          </w:p>
        </w:tc>
        <w:tc>
          <w:tcPr>
            <w:gridSpan w:val="2"/>
            <w:tcW w:w="7812" w:type="dxa"/>
            <w:vAlign w:val="center"/>
            <w:textDirection w:val="lrTb"/>
            <w:noWrap w:val="false"/>
          </w:tcPr>
          <w:p>
            <w:pPr>
              <w:keepLines w:val="0"/>
              <w:keepNext w:val="0"/>
              <w:pageBreakBefore w:val="0"/>
              <w:spacing w:line="430" w:lineRule="atLeast"/>
              <w:widowControl w:val="off"/>
              <w:rPr>
                <w:rFonts w:hint="eastAsia" w:ascii="宋体" w:hAnsi="宋体"/>
                <w:bCs/>
                <w:color w:val="auto"/>
                <w:sz w:val="24"/>
                <w:szCs w:val="24"/>
                <w:highlight w:val="none"/>
                <w:lang w:val="zh-CN" w:eastAsia="zh-CN"/>
              </w:rPr>
            </w:pPr>
            <w:r>
              <w:rPr>
                <w:rFonts w:hint="eastAsia" w:ascii="宋体" w:hAnsi="宋体" w:eastAsia="宋体" w:cs="Times New Roman"/>
                <w:bCs/>
                <w:color w:val="auto"/>
                <w:sz w:val="24"/>
                <w:szCs w:val="24"/>
                <w:highlight w:val="none"/>
                <w:lang w:val="en-US" w:eastAsia="zh-CN"/>
              </w:rPr>
              <w:t xml:space="preserve">本项目免收磋商保证金。</w:t>
            </w:r>
            <w:r/>
          </w:p>
        </w:tc>
      </w:tr>
      <w:tr>
        <w:trPr>
          <w:jc w:val="center"/>
        </w:trPr>
        <w:tc>
          <w:tcPr>
            <w:tcW w:w="862" w:type="dxa"/>
            <w:vAlign w:val="center"/>
            <w:textDirection w:val="lrTb"/>
            <w:noWrap w:val="false"/>
          </w:tcPr>
          <w:p>
            <w:pPr>
              <w:jc w:val="center"/>
              <w:keepLines w:val="0"/>
              <w:keepNext w:val="0"/>
              <w:pageBreakBefore w:val="0"/>
              <w:spacing w:line="430" w:lineRule="atLeast"/>
              <w:widowControl w:val="off"/>
              <w:rPr>
                <w:rFonts w:hint="eastAsia" w:ascii="宋体" w:hAnsi="宋体"/>
                <w:bCs/>
                <w:color w:val="auto"/>
                <w:sz w:val="24"/>
                <w:szCs w:val="24"/>
                <w:highlight w:val="none"/>
              </w:rPr>
            </w:pPr>
            <w:r/>
            <w:bookmarkStart w:id="3" w:name="OLE_LINK61"/>
            <w:r>
              <w:rPr>
                <w:rFonts w:hint="eastAsia" w:ascii="宋体" w:hAnsi="宋体"/>
                <w:bCs/>
                <w:color w:val="auto"/>
                <w:sz w:val="24"/>
                <w:szCs w:val="24"/>
                <w:highlight w:val="none"/>
              </w:rPr>
              <w:t xml:space="preserve">6</w:t>
            </w:r>
            <w:r/>
          </w:p>
        </w:tc>
        <w:tc>
          <w:tcPr>
            <w:tcW w:w="1006" w:type="dxa"/>
            <w:vAlign w:val="center"/>
            <w:textDirection w:val="lrTb"/>
            <w:noWrap w:val="false"/>
          </w:tcPr>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其他</w:t>
            </w:r>
            <w:r/>
          </w:p>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要求</w:t>
            </w:r>
            <w:r/>
          </w:p>
        </w:tc>
        <w:tc>
          <w:tcPr>
            <w:gridSpan w:val="2"/>
            <w:tcW w:w="7812" w:type="dxa"/>
            <w:vAlign w:val="center"/>
            <w:textDirection w:val="lrTb"/>
            <w:noWrap w:val="false"/>
          </w:tcPr>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1.单位负责人为同一人或者存在直接控股、管理关系的不同供应商，不得参加同一合同项下的政府采购活动，否则均以报价无效处理。</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2.为本采购项目提供整体设计、规范编制或者项目管理、监理、检测等服务的供应商，不得再参加本采购项目的采购活动。</w:t>
            </w:r>
            <w:r/>
          </w:p>
        </w:tc>
      </w:tr>
      <w:tr>
        <w:trPr>
          <w:jc w:val="center"/>
        </w:trPr>
        <w:tc>
          <w:tcPr>
            <w:tcW w:w="862" w:type="dxa"/>
            <w:vAlign w:val="center"/>
            <w:textDirection w:val="lrTb"/>
            <w:noWrap w:val="false"/>
          </w:tcPr>
          <w:p>
            <w:pPr>
              <w:jc w:val="center"/>
              <w:keepLines w:val="0"/>
              <w:keepNext w:val="0"/>
              <w:pageBreakBefore w:val="0"/>
              <w:spacing w:line="430" w:lineRule="atLeas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1006" w:type="dxa"/>
            <w:vAlign w:val="center"/>
            <w:textDirection w:val="lrTb"/>
            <w:noWrap w:val="false"/>
          </w:tcPr>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rPr>
              <w:t xml:space="preserve">不见面开标</w:t>
            </w:r>
            <w:r/>
          </w:p>
        </w:tc>
        <w:tc>
          <w:tcPr>
            <w:gridSpan w:val="2"/>
            <w:tcW w:w="7812" w:type="dxa"/>
            <w:vAlign w:val="top"/>
            <w:textDirection w:val="lrTb"/>
            <w:noWrap w:val="false"/>
          </w:tcPr>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本项目采用远程不见面交易模式，登录“苏采云”不见面交易系统，通过相应硬件设备（摄像头、话筒、麦克风等）完成远程解密、开标唱标、异议及回复等交互环节。交互过程中因供应商自身软硬件配备不齐全、发生故障、CA锁无法正常使用等问题而导致出现不稳定、中断、失效、超时等情况，其后果由供应商自行承担。</w:t>
            </w:r>
            <w:r/>
          </w:p>
          <w:p>
            <w:pPr>
              <w:keepLines w:val="0"/>
              <w:keepNext w:val="0"/>
              <w:pageBreakBefore w:val="0"/>
              <w:spacing w:line="430" w:lineRule="atLeas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2.供应商在开、评标全过程中应保持通讯畅通，及时登录“苏采云”系统查阅、答复相关信息，并安排专人随时接受与采购人、采购代理机构及磋商小组的相关询问。</w:t>
            </w:r>
            <w:r/>
          </w:p>
        </w:tc>
      </w:tr>
      <w:tr>
        <w:trPr>
          <w:jc w:val="center"/>
          <w:trHeight w:val="1444"/>
        </w:trPr>
        <w:tc>
          <w:tcPr>
            <w:tcW w:w="862" w:type="dxa"/>
            <w:vAlign w:val="center"/>
            <w:vMerge w:val="restart"/>
            <w:textDirection w:val="lrTb"/>
            <w:noWrap w:val="false"/>
          </w:tcPr>
          <w:p>
            <w:pPr>
              <w:jc w:val="center"/>
              <w:keepLines w:val="0"/>
              <w:keepNext w:val="0"/>
              <w:pageBreakBefore w:val="0"/>
              <w:spacing w:line="430" w:lineRule="atLeas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8</w:t>
            </w:r>
            <w:r/>
          </w:p>
        </w:tc>
        <w:tc>
          <w:tcPr>
            <w:tcW w:w="1006" w:type="dxa"/>
            <w:vAlign w:val="center"/>
            <w:vMerge w:val="restart"/>
            <w:textDirection w:val="lrTb"/>
            <w:noWrap w:val="false"/>
          </w:tcPr>
          <w:p>
            <w:pPr>
              <w:pStyle w:val="955"/>
              <w:jc w:val="center"/>
              <w:keepLines w:val="0"/>
              <w:keepNext w:val="0"/>
              <w:pageBreakBefore w:val="0"/>
              <w:spacing w:line="430" w:lineRule="atLeast"/>
              <w:widowControl w:val="off"/>
              <w:rPr>
                <w:rFonts w:hint="eastAsia"/>
                <w:b/>
                <w:bCs/>
                <w:color w:val="auto"/>
                <w:highlight w:val="none"/>
                <w:lang w:val="zh-CN" w:eastAsia="zh-CN"/>
              </w:rPr>
            </w:pPr>
            <w:r>
              <w:rPr>
                <w:rFonts w:hint="eastAsia"/>
                <w:b/>
                <w:bCs/>
                <w:color w:val="auto"/>
                <w:highlight w:val="none"/>
                <w:lang w:val="zh-CN" w:eastAsia="zh-CN"/>
              </w:rPr>
              <w:t xml:space="preserve">联系</w:t>
            </w:r>
            <w:r/>
          </w:p>
          <w:p>
            <w:pPr>
              <w:pStyle w:val="955"/>
              <w:jc w:val="center"/>
              <w:keepLines w:val="0"/>
              <w:keepNext w:val="0"/>
              <w:pageBreakBefore w:val="0"/>
              <w:spacing w:line="430" w:lineRule="atLeast"/>
              <w:widowControl w:val="off"/>
              <w:rPr>
                <w:rFonts w:hint="eastAsia"/>
                <w:b/>
                <w:bCs/>
                <w:color w:val="auto"/>
                <w:highlight w:val="none"/>
                <w:lang w:val="zh-CN"/>
              </w:rPr>
            </w:pPr>
            <w:r>
              <w:rPr>
                <w:rFonts w:hint="eastAsia"/>
                <w:b/>
                <w:bCs/>
                <w:color w:val="auto"/>
                <w:highlight w:val="none"/>
                <w:lang w:val="zh-CN" w:eastAsia="zh-CN"/>
              </w:rPr>
              <w:t xml:space="preserve">方式</w:t>
            </w:r>
            <w:r/>
          </w:p>
        </w:tc>
        <w:tc>
          <w:tcPr>
            <w:tcW w:w="1974" w:type="dxa"/>
            <w:vAlign w:val="center"/>
            <w:textDirection w:val="lrTb"/>
            <w:noWrap w:val="false"/>
          </w:tcPr>
          <w:p>
            <w:pPr>
              <w:jc w:val="center"/>
              <w:keepLines w:val="0"/>
              <w:keepNext w:val="0"/>
              <w:pageBreakBefore w:val="0"/>
              <w:spacing w:line="430" w:lineRule="atLeas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5838" w:type="dxa"/>
            <w:vAlign w:val="top"/>
            <w:textDirection w:val="lrTb"/>
            <w:noWrap w:val="false"/>
          </w:tcPr>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单位名称：</w:t>
            </w:r>
            <w:bookmarkStart w:id="4" w:name="OLE_LINK11"/>
            <w:r>
              <w:rPr>
                <w:rFonts w:hint="eastAsia" w:ascii="宋体" w:hAnsi="宋体" w:cs="Times New Roman"/>
                <w:color w:val="auto"/>
                <w:sz w:val="24"/>
                <w:szCs w:val="28"/>
                <w:highlight w:val="none"/>
                <w:lang w:val="zh-CN" w:eastAsia="zh-CN"/>
              </w:rPr>
              <w:t xml:space="preserve">宜兴市杨巷镇人民政府</w:t>
            </w:r>
            <w:bookmarkEnd w:id="4"/>
            <w:r/>
            <w:r/>
          </w:p>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联系地址：宜兴市杨巷镇中桥路168号</w:t>
            </w:r>
            <w:r/>
          </w:p>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联系人：吴先生</w:t>
            </w:r>
            <w:r/>
          </w:p>
          <w:p>
            <w:pPr>
              <w:jc w:val="both"/>
              <w:keepLines w:val="0"/>
              <w:keepNext w:val="0"/>
              <w:pageBreakBefore w:val="0"/>
              <w:spacing w:line="430" w:lineRule="atLeast"/>
              <w:widowControl w:val="off"/>
              <w:rPr>
                <w:rFonts w:hint="default"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zh-CN" w:eastAsia="zh-CN"/>
              </w:rPr>
              <w:t xml:space="preserve">联系电话：</w:t>
            </w:r>
            <w:r>
              <w:rPr>
                <w:rFonts w:hint="eastAsia" w:ascii="宋体" w:hAnsi="宋体" w:cs="Times New Roman"/>
                <w:color w:val="auto"/>
                <w:sz w:val="24"/>
                <w:szCs w:val="28"/>
                <w:highlight w:val="none"/>
                <w:lang w:val="en-US" w:eastAsia="zh-CN"/>
              </w:rPr>
              <w:t xml:space="preserve">0510-87270067</w:t>
            </w:r>
            <w:r/>
          </w:p>
        </w:tc>
      </w:tr>
      <w:tr>
        <w:trPr>
          <w:jc w:val="center"/>
          <w:trHeight w:val="1275"/>
        </w:trPr>
        <w:tc>
          <w:tcPr>
            <w:tcW w:w="862" w:type="dxa"/>
            <w:vAlign w:val="center"/>
            <w:vMerge w:val="continue"/>
            <w:textDirection w:val="lrTb"/>
            <w:noWrap w:val="false"/>
          </w:tcPr>
          <w:p>
            <w:pPr>
              <w:jc w:val="left"/>
              <w:keepLines w:val="0"/>
              <w:keepNext w:val="0"/>
              <w:pageBreakBefore w:val="0"/>
              <w:spacing w:line="430" w:lineRule="atLeast"/>
              <w:widowControl w:val="off"/>
              <w:rPr>
                <w:rFonts w:ascii="宋体" w:hAnsi="宋体"/>
                <w:bCs/>
                <w:color w:val="auto"/>
                <w:sz w:val="24"/>
                <w:szCs w:val="24"/>
                <w:highlight w:val="none"/>
              </w:rPr>
            </w:pPr>
            <w:r>
              <w:rPr>
                <w:rFonts w:ascii="宋体" w:hAnsi="宋体"/>
                <w:bCs/>
                <w:color w:val="auto"/>
                <w:sz w:val="24"/>
                <w:szCs w:val="24"/>
                <w:highlight w:val="none"/>
              </w:rPr>
            </w:r>
            <w:r/>
          </w:p>
        </w:tc>
        <w:tc>
          <w:tcPr>
            <w:tcW w:w="1006" w:type="dxa"/>
            <w:vAlign w:val="center"/>
            <w:vMerge w:val="continue"/>
            <w:textDirection w:val="lrTb"/>
            <w:noWrap w:val="false"/>
          </w:tcPr>
          <w:p>
            <w:pPr>
              <w:jc w:val="center"/>
              <w:keepLines w:val="0"/>
              <w:keepNext w:val="0"/>
              <w:pageBreakBefore w:val="0"/>
              <w:spacing w:line="430" w:lineRule="atLeast"/>
              <w:widowControl w:val="off"/>
              <w:rPr>
                <w:rFonts w:ascii="宋体" w:hAnsi="宋体"/>
                <w:bCs/>
                <w:color w:val="auto"/>
                <w:sz w:val="24"/>
                <w:szCs w:val="24"/>
                <w:highlight w:val="none"/>
              </w:rPr>
            </w:pPr>
            <w:r>
              <w:rPr>
                <w:rFonts w:ascii="宋体" w:hAnsi="宋体"/>
                <w:bCs/>
                <w:color w:val="auto"/>
                <w:sz w:val="24"/>
                <w:szCs w:val="24"/>
                <w:highlight w:val="none"/>
              </w:rPr>
            </w:r>
            <w:r/>
          </w:p>
        </w:tc>
        <w:tc>
          <w:tcPr>
            <w:tcW w:w="1974" w:type="dxa"/>
            <w:vAlign w:val="center"/>
            <w:textDirection w:val="lrTb"/>
            <w:noWrap w:val="false"/>
          </w:tcPr>
          <w:p>
            <w:pPr>
              <w:jc w:val="center"/>
              <w:keepLines w:val="0"/>
              <w:keepNext w:val="0"/>
              <w:pageBreakBefore w:val="0"/>
              <w:spacing w:line="430" w:lineRule="atLeast"/>
              <w:widowControl w:val="off"/>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采购代理机构</w:t>
            </w:r>
            <w:r/>
          </w:p>
        </w:tc>
        <w:tc>
          <w:tcPr>
            <w:tcW w:w="5838" w:type="dxa"/>
            <w:vAlign w:val="top"/>
            <w:textDirection w:val="lrTb"/>
            <w:noWrap w:val="false"/>
          </w:tcPr>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单位名称：国正工程咨询（江苏）有限责任公司</w:t>
            </w:r>
            <w:r/>
          </w:p>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联系地址：宜兴市环科园岳东路7号</w:t>
            </w:r>
            <w:r/>
          </w:p>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联系人：李先生 </w:t>
            </w:r>
            <w:r/>
          </w:p>
          <w:p>
            <w:pPr>
              <w:jc w:val="both"/>
              <w:keepLines w:val="0"/>
              <w:keepNext w:val="0"/>
              <w:pageBreakBefore w:val="0"/>
              <w:spacing w:line="430" w:lineRule="atLeast"/>
              <w:widowControl w:val="off"/>
              <w:rPr>
                <w:rFonts w:hint="default"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zh-CN" w:eastAsia="zh-CN"/>
              </w:rPr>
              <w:t xml:space="preserve">联系电话：0510-87991906</w:t>
            </w:r>
            <w:r/>
          </w:p>
        </w:tc>
      </w:tr>
      <w:tr>
        <w:trPr>
          <w:jc w:val="center"/>
          <w:trHeight w:val="1629"/>
        </w:trPr>
        <w:tc>
          <w:tcPr>
            <w:tcW w:w="862" w:type="dxa"/>
            <w:vAlign w:val="center"/>
            <w:vMerge w:val="continue"/>
            <w:textDirection w:val="lrTb"/>
            <w:noWrap w:val="false"/>
          </w:tcPr>
          <w:p>
            <w:pPr>
              <w:jc w:val="left"/>
              <w:keepLines w:val="0"/>
              <w:keepNext w:val="0"/>
              <w:pageBreakBefore w:val="0"/>
              <w:spacing w:line="430" w:lineRule="atLeast"/>
              <w:widowControl w:val="off"/>
              <w:rPr>
                <w:rFonts w:ascii="宋体" w:hAnsi="宋体"/>
                <w:bCs/>
                <w:color w:val="auto"/>
                <w:sz w:val="24"/>
                <w:szCs w:val="24"/>
                <w:highlight w:val="none"/>
              </w:rPr>
            </w:pPr>
            <w:r>
              <w:rPr>
                <w:rFonts w:ascii="宋体" w:hAnsi="宋体"/>
                <w:bCs/>
                <w:color w:val="auto"/>
                <w:sz w:val="24"/>
                <w:szCs w:val="24"/>
                <w:highlight w:val="none"/>
              </w:rPr>
            </w:r>
            <w:r/>
          </w:p>
        </w:tc>
        <w:tc>
          <w:tcPr>
            <w:tcW w:w="1006" w:type="dxa"/>
            <w:vAlign w:val="center"/>
            <w:vMerge w:val="continue"/>
            <w:textDirection w:val="lrTb"/>
            <w:noWrap w:val="false"/>
          </w:tcPr>
          <w:p>
            <w:pPr>
              <w:jc w:val="center"/>
              <w:keepLines w:val="0"/>
              <w:keepNext w:val="0"/>
              <w:pageBreakBefore w:val="0"/>
              <w:spacing w:line="430" w:lineRule="atLeast"/>
              <w:widowControl w:val="off"/>
              <w:rPr>
                <w:rFonts w:ascii="宋体" w:hAnsi="宋体"/>
                <w:bCs/>
                <w:color w:val="auto"/>
                <w:sz w:val="24"/>
                <w:szCs w:val="24"/>
                <w:highlight w:val="none"/>
              </w:rPr>
            </w:pPr>
            <w:r>
              <w:rPr>
                <w:rFonts w:ascii="宋体" w:hAnsi="宋体"/>
                <w:bCs/>
                <w:color w:val="auto"/>
                <w:sz w:val="24"/>
                <w:szCs w:val="24"/>
                <w:highlight w:val="none"/>
              </w:rPr>
            </w:r>
            <w:r/>
          </w:p>
        </w:tc>
        <w:tc>
          <w:tcPr>
            <w:tcW w:w="1974" w:type="dxa"/>
            <w:vAlign w:val="center"/>
            <w:textDirection w:val="lrTb"/>
            <w:noWrap w:val="false"/>
          </w:tcPr>
          <w:p>
            <w:pPr>
              <w:jc w:val="center"/>
              <w:keepLines w:val="0"/>
              <w:keepNext w:val="0"/>
              <w:pageBreakBefore w:val="0"/>
              <w:spacing w:line="430" w:lineRule="atLeas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“苏采云”客服</w:t>
            </w:r>
            <w:r/>
          </w:p>
        </w:tc>
        <w:tc>
          <w:tcPr>
            <w:tcW w:w="5838" w:type="dxa"/>
            <w:vAlign w:val="center"/>
            <w:textDirection w:val="lrTb"/>
            <w:noWrap w:val="false"/>
          </w:tcPr>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en-US" w:eastAsia="zh-CN"/>
              </w:rPr>
              <w:t xml:space="preserve">供应商在“苏采云”系统操作过程中如遇问题，请致电“苏采云”客服，联系电话：17361717606、17312952101；或在“苏采云”系统中发起在线人工客服请求。</w:t>
            </w:r>
            <w:r/>
          </w:p>
        </w:tc>
      </w:tr>
      <w:tr>
        <w:trPr>
          <w:jc w:val="center"/>
          <w:trHeight w:val="660"/>
        </w:trPr>
        <w:tc>
          <w:tcPr>
            <w:tcW w:w="862" w:type="dxa"/>
            <w:vAlign w:val="center"/>
            <w:vMerge w:val="continue"/>
            <w:textDirection w:val="lrTb"/>
            <w:noWrap w:val="false"/>
          </w:tcPr>
          <w:p>
            <w:pPr>
              <w:jc w:val="left"/>
              <w:keepLines w:val="0"/>
              <w:keepNext w:val="0"/>
              <w:pageBreakBefore w:val="0"/>
              <w:spacing w:line="430" w:lineRule="atLeast"/>
              <w:widowControl w:val="off"/>
              <w:rPr>
                <w:rFonts w:ascii="宋体" w:hAnsi="宋体"/>
                <w:bCs/>
                <w:color w:val="auto"/>
                <w:sz w:val="24"/>
                <w:szCs w:val="24"/>
                <w:highlight w:val="none"/>
              </w:rPr>
            </w:pPr>
            <w:r>
              <w:rPr>
                <w:rFonts w:ascii="宋体" w:hAnsi="宋体"/>
                <w:bCs/>
                <w:color w:val="auto"/>
                <w:sz w:val="24"/>
                <w:szCs w:val="24"/>
                <w:highlight w:val="none"/>
              </w:rPr>
            </w:r>
            <w:r/>
          </w:p>
        </w:tc>
        <w:tc>
          <w:tcPr>
            <w:tcW w:w="1006" w:type="dxa"/>
            <w:vAlign w:val="center"/>
            <w:vMerge w:val="continue"/>
            <w:textDirection w:val="lrTb"/>
            <w:noWrap w:val="false"/>
          </w:tcPr>
          <w:p>
            <w:pPr>
              <w:jc w:val="center"/>
              <w:keepLines w:val="0"/>
              <w:keepNext w:val="0"/>
              <w:pageBreakBefore w:val="0"/>
              <w:spacing w:line="430" w:lineRule="atLeast"/>
              <w:widowControl w:val="off"/>
              <w:rPr>
                <w:rFonts w:ascii="宋体" w:hAnsi="宋体"/>
                <w:bCs/>
                <w:color w:val="auto"/>
                <w:sz w:val="24"/>
                <w:szCs w:val="24"/>
                <w:highlight w:val="none"/>
              </w:rPr>
            </w:pPr>
            <w:r>
              <w:rPr>
                <w:rFonts w:ascii="宋体" w:hAnsi="宋体"/>
                <w:bCs/>
                <w:color w:val="auto"/>
                <w:sz w:val="24"/>
                <w:szCs w:val="24"/>
                <w:highlight w:val="none"/>
              </w:rPr>
            </w:r>
            <w:r/>
          </w:p>
        </w:tc>
        <w:tc>
          <w:tcPr>
            <w:tcW w:w="1974" w:type="dxa"/>
            <w:vAlign w:val="center"/>
            <w:textDirection w:val="lrTb"/>
            <w:noWrap w:val="false"/>
          </w:tcPr>
          <w:p>
            <w:pPr>
              <w:jc w:val="center"/>
              <w:keepLines w:val="0"/>
              <w:keepNext w:val="0"/>
              <w:pageBreakBefore w:val="0"/>
              <w:spacing w:line="430" w:lineRule="atLeas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5838" w:type="dxa"/>
            <w:vAlign w:val="center"/>
            <w:textDirection w:val="lrTb"/>
            <w:noWrap w:val="false"/>
          </w:tcPr>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政府采购监督管理及投诉处理主体: 宜兴市财政局</w:t>
            </w:r>
            <w:r/>
          </w:p>
          <w:p>
            <w:pPr>
              <w:jc w:val="both"/>
              <w:keepLines w:val="0"/>
              <w:keepNext w:val="0"/>
              <w:pageBreakBefore w:val="0"/>
              <w:spacing w:line="430" w:lineRule="atLeast"/>
              <w:widowControl w:val="off"/>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联系地址：宜兴市荆溪中路35号五局大院内</w:t>
            </w:r>
            <w:bookmarkEnd w:id="3"/>
            <w:r/>
            <w:r/>
          </w:p>
        </w:tc>
      </w:tr>
    </w:tbl>
    <w:p>
      <w:pPr>
        <w:jc w:val="center"/>
        <w:spacing w:line="360" w:lineRule="auto"/>
        <w:rPr>
          <w:rFonts w:hint="eastAsia" w:ascii="黑体" w:hAnsi="黑体" w:eastAsia="黑体"/>
          <w:color w:val="auto"/>
          <w:sz w:val="28"/>
          <w:highlight w:val="none"/>
        </w:rPr>
        <w:sectPr>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eastAsia"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bookmarkStart w:id="5" w:name="_Toc17720"/>
      <w:r>
        <w:rPr>
          <w:rFonts w:hint="eastAsia" w:ascii="黑体" w:hAnsi="黑体" w:eastAsia="黑体"/>
          <w:color w:val="auto"/>
          <w:sz w:val="28"/>
          <w:highlight w:val="none"/>
        </w:rPr>
        <w:t xml:space="preserve">第二章 供应商须知</w:t>
      </w:r>
      <w:bookmarkEnd w:id="2"/>
      <w:r/>
      <w:bookmarkEnd w:id="5"/>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一、总   则</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1、适用法律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1.1 本次采购及由此产生的合同受中华人民共和国法律的制约和保护。</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2、定义</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供应商”是指参加报价竞争的法人、其他组织或者自然人；银行、保险、石油石化、电力、电信等有行业特殊情况的，可以以分支机构直接参加政府采购活动。合格的供应商应满足采购公告中供应商的资格要求以及本文件实质性要求和条件的规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 磋商文件中的“法定代表人”是指供应商的营业执照或相关部门的有效登记证明文件中的“法定代表人”、“执行事务合伙人”、“经营者”、“负责人”，若为自然人的指自然人本人。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本磋商文件中的采购与招标、供应商与投标人、优惠政策与扶持政策，分别为同一概念或意思。</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本磋商文件中所称的“以上”、“以来”、“以下”、“不少于”、“不超过”，包括本数；所称的“不足”、“低于”、“高于”、“少于”、“超过”，不包括本数。</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 xml:space="preserve">3、政府采购政策</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3.3 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eastAsia="宋体" w:cs="宋体"/>
          <w:b/>
          <w:bCs w:val="0"/>
          <w:color w:val="auto"/>
          <w:sz w:val="24"/>
          <w:szCs w:val="24"/>
          <w:highlight w:val="none"/>
          <w:lang w:val="zh-CN"/>
        </w:rPr>
        <w:t xml:space="preserve">本项目中如有涉及到强制采购产品的，供应商须按照上述要求提供相关产品的证明材料，否则响应无效。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优先采购节能产品、环境标志产品。采购产品属于《节能产品政府采购品目清单》、《环境标志产品政府采购品目清单》（具体品目未以“★”标注）范围的，依据国家确定的认证机构出具的、处于有效期之内的节能、环境标志产品认证证书，对获得证书的产品依据品目清单和认证证书实施政府优先采购。</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认证机构详见市场监管总局发布的《参与实施政府采购节能产品认证机构名录》和《参与实施政府采购环境标志产品认证机构名录》。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3.5 本项目中如有涉及数据库、操作系</w:t>
      </w:r>
      <w:r>
        <w:rPr>
          <w:rFonts w:hint="eastAsia" w:ascii="宋体" w:hAnsi="宋体" w:eastAsia="宋体" w:cs="宋体"/>
          <w:bCs/>
          <w:color w:val="auto"/>
          <w:sz w:val="24"/>
          <w:szCs w:val="24"/>
          <w:highlight w:val="none"/>
          <w:lang w:val="zh-CN"/>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磋商文件中有其他要求的，供应商应满足磋商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3.6 政府采购支持中小企业发展。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3.6.1 “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以联合体形式参加政府采购活动的，联合体各方均为中小企业的，联合体视同中小企业。其中，联合体各方均为小微企业的，联合体视同小微企业。由联合体主体单位出具中小企业声明。</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3.6.2 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供应商是否为中小企业进行认定</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bCs w:val="0"/>
          <w:color w:val="auto"/>
          <w:sz w:val="24"/>
          <w:szCs w:val="24"/>
          <w:highlight w:val="none"/>
          <w:lang w:val="zh-CN"/>
        </w:rPr>
        <w:t xml:space="preserve">不再对其中涉及的货物的制造商作出要求。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3.6.3 对于专门面向中小企业的项目，只面向中小企业采购，且评审时不予报价扣除；对于非专门面向中小企业的项</w:t>
      </w:r>
      <w:r>
        <w:rPr>
          <w:rFonts w:hint="eastAsia" w:ascii="宋体" w:hAnsi="宋体" w:eastAsia="宋体" w:cs="宋体"/>
          <w:bCs/>
          <w:color w:val="auto"/>
          <w:sz w:val="24"/>
          <w:szCs w:val="24"/>
          <w:highlight w:val="none"/>
          <w:lang w:val="zh-CN"/>
        </w:rPr>
        <w:t xml:space="preserve">目，对符合规定的小微企业报价给予扣除,用扣除后的价格参与评审。接受大中型企业与小微企业组成联合体或者允许大中型企业向一家或者多家小微企业分包的采购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供应商须在《联合体各方共同投标协议》中明确联合体各方是否存在上述关系，如未进行明确的亦不得享受价格扣除。</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3.6.4 可享受中小企业扶持政策的供应商应按照磋商文件要求提供中小企业声明，供应商提供的中小企业声明与实际情况不符的，不享受中小企业扶持政策。中小企业声明包括《中小企业声明函》或《残疾人福利性单位声明函》或监狱企业的证明文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对提供《中小企业声明函》的供应商，应按照《中小企业声明函》格式准确完整填写相关内容，并明确企业类型（中型、小型或微型），否则中小企业声明函无效。新成立企业时间认定以相关部门颁发证书的发证、登记日期为准，应提供相关证书，否则不予认可。声明内容不实的，属于提供虚假材料谋取中标、成交的，应依法承担法律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②对提供《残疾人福利性单位声明函》的供应商，应符合《关于促进残疾人就业政府采购政策的通知》（财库〔2017〕141号）规定，其视同小型、微型企业。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对提供由省级以上监狱管理局、戒毒管理局（含新疆生产建设兵团）出具的属于监狱企业证明文件的供应商，应符合《关于政府采购支持监狱企业发展有关问题的通知》（财库〔2014〕68号）规定，其视同为小型、微型企业。</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 xml:space="preserve">若供应商同时为小微企业、残疾人福利性单位或监狱企业，只享受一次针对小微企业的价格优惠。</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zh-CN"/>
        </w:rPr>
        <w:t xml:space="preserve">3.6.5 中小企业依据《政府采购促进中小企业发展管理办法》（财库〔2020〕46号）规定的扶持政策获得政府采购合同后，小微企业不得将合同分包给大中型企业，中型企业不得将合同分包给大型企业</w:t>
      </w:r>
      <w:r>
        <w:rPr>
          <w:rFonts w:hint="eastAsia" w:ascii="宋体" w:hAnsi="宋体" w:eastAsia="宋体" w:cs="宋体"/>
          <w:bCs/>
          <w:color w:val="auto"/>
          <w:sz w:val="24"/>
          <w:szCs w:val="24"/>
          <w:highlight w:val="none"/>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报价费用</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磋商文件中的货币单位均为人民币元。</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2 </w:t>
      </w:r>
      <w:r>
        <w:rPr>
          <w:rFonts w:hint="eastAsia" w:ascii="宋体" w:hAnsi="宋体" w:eastAsia="宋体" w:cs="宋体"/>
          <w:bCs/>
          <w:color w:val="auto"/>
          <w:sz w:val="24"/>
          <w:szCs w:val="24"/>
          <w:highlight w:val="none"/>
        </w:rPr>
        <w:t xml:space="preserve">供应商应自行承担所有与准备和参加采购活动有关的一切费用。</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 采购代理费收费标准:本项目采购代理费由</w:t>
      </w:r>
      <w:r>
        <w:rPr>
          <w:rFonts w:hint="eastAsia" w:ascii="宋体" w:hAnsi="宋体" w:eastAsia="宋体" w:cs="宋体"/>
          <w:b/>
          <w:bCs w:val="0"/>
          <w:color w:val="auto"/>
          <w:sz w:val="24"/>
          <w:szCs w:val="24"/>
          <w:highlight w:val="none"/>
          <w:lang w:eastAsia="zh-CN"/>
        </w:rPr>
        <w:t xml:space="preserve">成交供应商</w:t>
      </w:r>
      <w:r>
        <w:rPr>
          <w:rFonts w:hint="eastAsia" w:ascii="宋体" w:hAnsi="宋体" w:eastAsia="宋体" w:cs="宋体"/>
          <w:b/>
          <w:bCs w:val="0"/>
          <w:color w:val="auto"/>
          <w:sz w:val="24"/>
          <w:szCs w:val="24"/>
          <w:highlight w:val="none"/>
        </w:rPr>
        <w:t xml:space="preserve">支付</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按照《招标代理服务收费管理暂行办法》计价格〔2002〕1980号标准的</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u w:val="single"/>
          <w:lang w:val="en-US" w:eastAsia="zh-CN"/>
        </w:rPr>
        <w:t xml:space="preserve">70</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lang w:val="en-US" w:eastAsia="zh-CN"/>
        </w:rPr>
        <w:t xml:space="preserve">计算</w:t>
      </w:r>
      <w:r>
        <w:rPr>
          <w:rFonts w:hint="eastAsia" w:ascii="宋体" w:hAnsi="宋体" w:eastAsia="宋体" w:cs="宋体"/>
          <w:b/>
          <w:bCs w:val="0"/>
          <w:color w:val="auto"/>
          <w:sz w:val="24"/>
          <w:szCs w:val="24"/>
          <w:highlight w:val="none"/>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保密要求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 采购各方当事人，对采购活动过程中获悉的国家秘密、商业秘密，应当依法予以保密。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二、磋商文件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rPr>
          <w:rFonts w:hint="eastAsia" w:ascii="宋体" w:hAnsi="宋体" w:eastAsia="宋体" w:cs="宋体"/>
          <w:b/>
          <w:color w:val="auto"/>
          <w:sz w:val="24"/>
          <w:szCs w:val="24"/>
          <w:highlight w:val="none"/>
          <w:lang w:val="zh-CN"/>
        </w:rPr>
        <w:t xml:space="preserve">磋商文件的组成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 磋商文件包括采购公告和本文件目录所列全部内容及其附件，如有缺漏，请立即与采购人或者采购</w:t>
      </w:r>
      <w:r>
        <w:rPr>
          <w:rFonts w:hint="eastAsia" w:ascii="宋体" w:hAnsi="宋体" w:eastAsia="宋体" w:cs="宋体"/>
          <w:bCs/>
          <w:color w:val="auto"/>
          <w:sz w:val="24"/>
          <w:szCs w:val="24"/>
          <w:highlight w:val="none"/>
          <w:lang w:eastAsia="zh-CN"/>
        </w:rPr>
        <w:t xml:space="preserve">代理</w:t>
      </w:r>
      <w:r>
        <w:rPr>
          <w:rFonts w:hint="eastAsia" w:ascii="宋体" w:hAnsi="宋体" w:eastAsia="宋体" w:cs="宋体"/>
          <w:bCs/>
          <w:color w:val="auto"/>
          <w:sz w:val="24"/>
          <w:szCs w:val="24"/>
          <w:highlight w:val="none"/>
        </w:rPr>
        <w:t xml:space="preserve">机构联系解决。</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 磋商文件如与采购公告有不一致的地方，以磋商文件为准；电子响应文件制作客户端工具中电子响应文件格式、说明与本磋商文件格式、说明不一致的，以本磋商文件格式、说明为准。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 相关网站公告、公示信息如有不一致的，以“江苏政府采购网”发布的信息为准。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6.4 供应商一旦参加本项目采购活动，即被认为接受了本磋商文件的规定和约束。</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磋商文件的</w:t>
      </w:r>
      <w:bookmarkStart w:id="6" w:name="OLE_LINK20"/>
      <w:r>
        <w:rPr>
          <w:rFonts w:hint="eastAsia" w:ascii="宋体" w:hAnsi="宋体" w:eastAsia="宋体" w:cs="宋体"/>
          <w:b/>
          <w:color w:val="auto"/>
          <w:sz w:val="24"/>
          <w:szCs w:val="24"/>
          <w:highlight w:val="none"/>
          <w:lang w:val="zh-CN"/>
        </w:rPr>
        <w:t xml:space="preserve">澄清、修改</w:t>
      </w:r>
      <w:bookmarkEnd w:id="6"/>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 采购人或者采购</w:t>
      </w:r>
      <w:r>
        <w:rPr>
          <w:rFonts w:hint="eastAsia" w:ascii="宋体" w:hAnsi="宋体" w:eastAsia="宋体" w:cs="宋体"/>
          <w:bCs/>
          <w:color w:val="auto"/>
          <w:sz w:val="24"/>
          <w:szCs w:val="24"/>
          <w:highlight w:val="none"/>
          <w:lang w:eastAsia="zh-CN"/>
        </w:rPr>
        <w:t xml:space="preserve">代理</w:t>
      </w:r>
      <w:r>
        <w:rPr>
          <w:rFonts w:hint="eastAsia" w:ascii="宋体" w:hAnsi="宋体" w:eastAsia="宋体" w:cs="宋体"/>
          <w:bCs/>
          <w:color w:val="auto"/>
          <w:sz w:val="24"/>
          <w:szCs w:val="24"/>
          <w:highlight w:val="none"/>
        </w:rPr>
        <w:t xml:space="preserve">机构可以对已发出的磋商文件进行必要澄清或者修改，澄清或者修改的内容可能影响响应文件编制的，将在响应截止时间5日前，在原采购公告媒体发布更正公告；不足5日的，将顺延响应截止时间和报价时间。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7.2 该澄清或修改的内容为磋商文件的组成部分，并对供应商具有约束力。供应商应在响应截止时间前登录“苏采云”系统或关注原采购公告媒体上发布的更正公告。因供应商未尽注意义务，未及时更新上传响应文件或未全面地关注更正公告导致其提交的报价材料不符合本项目相关采购要求，而造成的损失及风险（包括但不限于未成交）由供应商自行承担</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三、响应文件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、响应文件的组成</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8.1 供应商应认真阅读磋商文件中所有的事项、格式、条款和规范等要求。按磋商文件要求和规定编制响应文件，包含资格证明文件及符合性证明文件，并保证所提供的全部资料的真实性，以使其响应文件对磋商文件作出实质性响应。</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rPr>
        <w:t xml:space="preserve">8.2 供应商所须提供的相关证明文件和要求以及响应文件的部分格式要求，详见“第六章 响应文件内容与格式”</w:t>
      </w:r>
      <w:r>
        <w:rPr>
          <w:rFonts w:hint="eastAsia" w:ascii="宋体" w:hAnsi="宋体" w:eastAsia="宋体" w:cs="宋体"/>
          <w:b w:val="0"/>
          <w:bCs w:val="0"/>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7" w:name="OLE_LINK100"/>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、报价</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9.1</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 xml:space="preserve">所有采购活动均以人民币报价。供应商的报价应遵守《中华人民共和国价格法》。同时，根据《中华人民共和国政府采购法》第二条的规定，为保证公平竞争，如有</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lang w:val="en-US" w:eastAsia="zh-CN"/>
        </w:rPr>
        <w:t xml:space="preserve">主体部分的赠与行为，其报价将被认定为报价无效。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9.2</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 xml:space="preserve">供应商应按照“苏采云”系统中的给定格式模块为准，完整、正确填写磋商报价表。报价应包含完成本服务项目发生的所有含税费用、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9.3</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 xml:space="preserve">每种服务只能有一个报价。采购人不接受具有附加条件的报价</w:t>
      </w:r>
      <w:r>
        <w:rPr>
          <w:rFonts w:hint="eastAsia" w:ascii="宋体" w:hAnsi="宋体" w:eastAsia="宋体" w:cs="宋体"/>
          <w:bCs/>
          <w:color w:val="auto"/>
          <w:sz w:val="24"/>
          <w:szCs w:val="24"/>
          <w:highlight w:val="none"/>
          <w:lang w:val="zh-CN"/>
        </w:rPr>
        <w:t xml:space="preserve">。</w:t>
      </w:r>
      <w:bookmarkEnd w:id="7"/>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、响应文件的制作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8" w:name="OLE_LINK123"/>
      <w:r>
        <w:rPr>
          <w:rFonts w:hint="eastAsia" w:ascii="宋体" w:hAnsi="宋体" w:eastAsia="宋体" w:cs="宋体"/>
          <w:bCs/>
          <w:color w:val="auto"/>
          <w:sz w:val="24"/>
          <w:szCs w:val="24"/>
          <w:highlight w:val="none"/>
        </w:rPr>
        <w:t xml:space="preserve">10.1</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供应商应按照法律、法规、规章和规范性文件以及磋商文件要求提交证明文件，证明其及报价标的符合磋商文件规定。证明文件必须清晰完整、真实有效，否则由供应商自行承担无效报价的风险。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磋商文件对证明文件无明确形式要求的，证明文件可以以文字资料、图纸和数据等形式提交。</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所有文件、往来函件均应使用简体中文（规格、型号辅助符号例外）。</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除技术性能另有规定外，响应文件所使用的度量衡单位，均须采用国家法定计量单位。</w:t>
      </w:r>
      <w:bookmarkEnd w:id="8"/>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 供应商“账号注册”及CA办理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11.1.1 请有意参加本项目采购活动的供应商按以下流程进行操作：</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①访问“江苏省政府采购（苏采云）平台”选择供应商版块，点击“用户注册”按钮，进行账号注册，注册完成后需在系统中填写资质信息并提交。也可以直接通过http://jszfcg.jsczt.cn/进入界面。</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②办理“意源”CA数字证书和“方正”电子签章，办理指南链接：http://jsxcmm.com/help/help.html。</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③CA驱动下载：在“苏采云”系统账号登录页面，点击“驱动下载”链接中的“政务CA、方正签章控件驱动安装包及安装说明”可以直接下载驱动安装包，安装包中附有驱动安装手册。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11.1.2 完成“苏采云”系统账号注册的供应商方可在“苏采云”系统中进行CA绑定。登录“苏采云”系统，插入CA后，点击【账号设置】——【绑定CA】。</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11.1.3 供应商应按上述要求提供相关材料信息，所提供的材料应均是真实的、准确的，若有违背，供应商自行承担由此而产生的一切后果。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11.1.4 如供应商未按上述要求操作，由此所产生的损失及风险由供应商自行承担。具体操作步骤详见《“苏采云”系统供应商操作手册》（以下简称《操作手册》），下载地址：宜兴市公共资源交易中心网——下载中心——江苏省政府采购交易系统（苏采云）供应商操作手册。（友情提示：若供应商已领取副锁（含多把副锁）请注意正副锁的使用差别）</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供应商在“苏采云”系统操作过程中如遇问题，请致电“苏采云”客服，联系电话：17361717606、17312952101；或在“苏采云”系统中发起在线人工客服请求。</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11.2 完成项目参与，上传响应文件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11.2.1 供应商可在项目磋商公告附件中查看磋商文件，如确定参加本次采购活动</w:t>
      </w:r>
      <w:r>
        <w:rPr>
          <w:rFonts w:hint="eastAsia" w:ascii="宋体" w:hAnsi="宋体" w:eastAsia="宋体" w:cs="宋体"/>
          <w:b w:val="0"/>
          <w:bCs/>
          <w:color w:val="auto"/>
          <w:sz w:val="24"/>
          <w:szCs w:val="24"/>
          <w:highlight w:val="none"/>
        </w:rPr>
        <w:t xml:space="preserve">，必须在磋商文件提供期限内从“苏采云”系统中下载文件（“项目参与”——“采购项目参与”找到需要获取磋商文件的项目，点击“我要参与”——“参与投标”——“下载文件”），完成项目参与，将“苏采云”系统中下载的磋商文件（后缀名为“.kedt”）导入到“政府采购客户端”，离线按要求编制并加密响应文件（使用“CA数字证书”），导出加密的响应文件（后缀名为zip，不得超过150M）并在磋商文件规定的截止时间前，通过“苏采云”系统完成提交，时间以电子交易平台时间为准。对磋商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11.2.2 电子响应文件将作为本项目采购活动的电子档案保存，电子档案与纸档案具有同等效力。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11.2.3 因不可抗力事件造成的响应文件的损坏、丢失的，</w:t>
      </w:r>
      <w:r>
        <w:rPr>
          <w:rFonts w:hint="eastAsia" w:ascii="宋体" w:hAnsi="宋体" w:eastAsia="宋体" w:cs="宋体"/>
          <w:b w:val="0"/>
          <w:bCs/>
          <w:color w:val="auto"/>
          <w:sz w:val="24"/>
          <w:szCs w:val="24"/>
          <w:highlight w:val="none"/>
          <w:lang w:eastAsia="zh-CN"/>
        </w:rPr>
        <w:t xml:space="preserve">采购代理机构</w:t>
      </w:r>
      <w:r>
        <w:rPr>
          <w:rFonts w:hint="eastAsia" w:ascii="宋体" w:hAnsi="宋体" w:eastAsia="宋体" w:cs="宋体"/>
          <w:b w:val="0"/>
          <w:bCs/>
          <w:color w:val="auto"/>
          <w:sz w:val="24"/>
          <w:szCs w:val="24"/>
          <w:highlight w:val="none"/>
        </w:rPr>
        <w:t xml:space="preserve">不承担责任。 </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、响应文件的拒收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 拒绝接收提交响应文件截止时间后上传的任何响应文件。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、响应文件的真实性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9" w:name="OLE_LINK31"/>
      <w:r>
        <w:rPr>
          <w:rFonts w:hint="eastAsia" w:ascii="宋体" w:hAnsi="宋体" w:eastAsia="宋体" w:cs="宋体"/>
          <w:color w:val="auto"/>
          <w:sz w:val="24"/>
          <w:szCs w:val="24"/>
          <w:highlight w:val="none"/>
        </w:rPr>
        <w:t xml:space="preserve">13.1 供应商（含成交供应商）应对其响应文件中提供的所有材料的真实性负责。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如采购人、采购</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机构、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9"/>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0" w:name="OLE_LINK32"/>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、响应文件的有效期</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 响应文件的有效期为提交响应文件截止之日起的90天（含截止当日）。在特殊情况下，采购人、</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可与供应商协商延长响应文件的有效期。</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、响应文件的退还</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5.1 提交响应文件截止时间后，采购人和</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对所有供应商的响应文件一律不予退还。</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、响应文件的撤回和修改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 电子响应文件的撤回：供应商可在提交响应文件截止时间前，撤回其电子响应文件，具体操作方法见《操作手册》。供应商撤回电子响应文件，则认为其不再参与本项目报价活动。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16.2 电子响应文件的修改：供应商可在提交响应文件截止时间前，对其电子响应文件进行修改，具体操作方法见《操作手册》。在提交响应文件截止时间之后，采购人、</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、磋商小组不接受供应商主动对其响应文件做任何补充、修改。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16.3 在提交响应文件截止时间至磋商文件中规定的响应文件有效期满之间的这段时间内，供应商不得撤回其报价。</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无效报价的确认</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lang w:val="zh-CN"/>
        </w:rPr>
        <w:t xml:space="preserve">供应商有下列情况之一者，其报价无效：</w:t>
      </w:r>
      <w:bookmarkEnd w:id="10"/>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响应文件未按磋商文件规定签署或盖章的；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不具备磋商文件中“供应商参加本次政府采购活动应具备的资格条件”或未按磋商文件规定的要求提供资格证明文件的；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响应文件中有磋商文件未允许提供的选择性内容的；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响应文件含有采购人不能接受的附加条件的；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报价超过磋商文件中规定的项目（或采购包）预算金额或者最高限价的；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响应文件报价出现前后不一致，且供应商拒绝修正的；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磋商小组认定供应商的报价明显低于其他通过符合性审查供应商的报价，有可能影响产品质量或者不能诚信履约的，磋商小组将启动异常低价投标审查程序。供应商不能应磋商小组要求在给定的合理时间内提供说明（必要时磋商小组可要求供应商提交相关证明材料），或者提供的书面说明、证明材料不能证明其报价合理性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属于磋商文件“不得参加本次采购活动”的供应商的；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与其他供应商串通报价的，包括但不限于以下几种情况：</w:t>
      </w:r>
      <w:r/>
    </w:p>
    <w:p>
      <w:pPr>
        <w:numPr>
          <w:ilvl w:val="0"/>
          <w:numId w:val="2"/>
        </w:numPr>
        <w:ind w:firstLine="840"/>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不同供应商的响应文件由同一单位或者个人编制；</w:t>
      </w:r>
      <w:r/>
    </w:p>
    <w:p>
      <w:pPr>
        <w:numPr>
          <w:ilvl w:val="0"/>
          <w:numId w:val="2"/>
        </w:numPr>
        <w:ind w:firstLine="840"/>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不同供应商委托同一单位或者个人办理报价事宜；</w:t>
      </w:r>
      <w:r/>
    </w:p>
    <w:p>
      <w:pPr>
        <w:numPr>
          <w:ilvl w:val="0"/>
          <w:numId w:val="2"/>
        </w:numPr>
        <w:ind w:firstLine="840"/>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不同供应商的响应文件载明的项目管理成员或者联系人员为同一人；</w:t>
      </w:r>
      <w:r/>
    </w:p>
    <w:p>
      <w:pPr>
        <w:numPr>
          <w:ilvl w:val="0"/>
          <w:numId w:val="2"/>
        </w:numPr>
        <w:ind w:firstLine="840"/>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不同供应商的响应文件异常一致或者报价呈规律性差异；</w:t>
      </w:r>
      <w:r/>
    </w:p>
    <w:p>
      <w:pPr>
        <w:numPr>
          <w:ilvl w:val="0"/>
          <w:numId w:val="2"/>
        </w:numPr>
        <w:ind w:firstLine="840"/>
        <w:keepLines w:val="0"/>
        <w:keepNext w:val="0"/>
        <w:pageBreakBefore w:val="0"/>
        <w:spacing w:line="360" w:lineRule="auto"/>
        <w:widowControl w:val="off"/>
        <w:tabs>
          <w:tab w:val="left" w:pos="425" w:leader="none"/>
        </w:tabs>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 xml:space="preserve">不同供应商的响应文件相互混装</w:t>
      </w:r>
      <w:r>
        <w:rPr>
          <w:rFonts w:hint="eastAsia" w:ascii="宋体" w:hAnsi="宋体" w:eastAsia="宋体" w:cs="宋体"/>
          <w:bCs/>
          <w:color w:val="auto"/>
          <w:sz w:val="24"/>
          <w:szCs w:val="24"/>
          <w:highlight w:val="none"/>
          <w:lang w:val="zh-CN"/>
        </w:rPr>
        <w:t xml:space="preserve">。</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提供虚假材料（含虚假承诺）的；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电子响应文件图片、字迹模糊不清、无法辨认导致无法评审的；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响应文件内容不全或不符合磋商文件中规定的实质性要求和条件，未通过符合性审查的；</w:t>
      </w:r>
      <w:r/>
    </w:p>
    <w:p>
      <w:pPr>
        <w:numPr>
          <w:ilvl w:val="0"/>
          <w:numId w:val="1"/>
        </w:numPr>
        <w:keepLines w:val="0"/>
        <w:keepNext w:val="0"/>
        <w:pageBreakBefore w:val="0"/>
        <w:spacing w:line="360" w:lineRule="auto"/>
        <w:widowControl w:val="off"/>
        <w:tabs>
          <w:tab w:val="clear" w:pos="0" w:leader="none"/>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法律、法规和磋商文件规定的其他无效情形。</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bookmarkStart w:id="11" w:name="OLE_LINK21"/>
      <w:r>
        <w:rPr>
          <w:rFonts w:hint="eastAsia" w:ascii="宋体" w:hAnsi="宋体" w:eastAsia="宋体" w:cs="宋体"/>
          <w:b/>
          <w:color w:val="auto"/>
          <w:sz w:val="24"/>
          <w:szCs w:val="24"/>
          <w:highlight w:val="none"/>
        </w:rPr>
        <w:t xml:space="preserve">联合体报价、成交后分包</w:t>
      </w:r>
      <w:bookmarkEnd w:id="11"/>
      <w:r>
        <w:rPr>
          <w:rFonts w:hint="eastAsia" w:ascii="宋体" w:hAnsi="宋体" w:eastAsia="宋体" w:cs="宋体"/>
          <w:b/>
          <w:color w:val="auto"/>
          <w:sz w:val="24"/>
          <w:szCs w:val="24"/>
          <w:highlight w:val="none"/>
        </w:rPr>
        <w:t xml:space="preserve">（如有）</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联合体</w:t>
      </w:r>
      <w:r/>
    </w:p>
    <w:p>
      <w:pPr>
        <w:ind w:firstLine="47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 两个以上的自然人、法人或者其他组织组成一个联合体，以一个供应商的身份共同参加政府采购。</w:t>
      </w:r>
      <w:r/>
    </w:p>
    <w:p>
      <w:pPr>
        <w:ind w:firstLine="47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18.2 供应商如为联合体的，联合体各方应按磋商文件提供的格式签订联合体协议书，明确联合体主体单位（即牵头人）和各方的权利义务，以及其中享受政府采购优惠政策的小微企业（如有）合同份额占合同总金额的比例。除联合体协议书外，响应文件其他地方需要供应商签名或盖章的，只需主体单位进行签名或盖章。</w:t>
      </w:r>
      <w:r/>
    </w:p>
    <w:p>
      <w:pPr>
        <w:ind w:firstLine="47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18.3 以联合体形式参加报价的，联合体各方均应当具备《中华人民共和国政府采购法》第二十二条规定的条件，联合体各方均未被“信用中国”网站、中国政府采购网列入失信被执行人、重大税收非法失信主体、政府采购严重违法失信行为记录名单；联合体中有同类资质的供应商按照联合体分工承担相同工作的，按照资质等级较低的供应商确定资质等级；联合体成员存在不良信用记录的，视同联合体存在不良信用记录。</w:t>
      </w:r>
      <w:r/>
    </w:p>
    <w:p>
      <w:pPr>
        <w:ind w:firstLine="47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18.4 以联合体形式参加政府采购活动的，联合体各方不得再单独参加或者与其他供应商另外组成联合体参加同一合同项下的政府采购活动，否则相关报价均将被认定为报价无效。</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19、成交后分包</w:t>
      </w:r>
      <w:r/>
    </w:p>
    <w:p>
      <w:pPr>
        <w:ind w:firstLine="470"/>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Cs/>
          <w:color w:val="auto"/>
          <w:sz w:val="24"/>
          <w:szCs w:val="24"/>
          <w:highlight w:val="none"/>
        </w:rPr>
        <w:t xml:space="preserve">19.1 供应商根据磋商文件的规定和采购项目的实际情况，拟在成交后将成交项目的非主体、非关键性工作分包的，须在响应文件中载明分包承担主体，分包承担主体应当具备相应资质条件且不得再次分包。</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五、采购活动</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20、采购活动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 采购人将在磋商公告中规定的时间和地点组织采购活动。供应商应当按照《操作手册》规定，参加采购活动和在“苏采云”系统规定的时间内对响应文件进行解密。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 开标仪式由采购人或者</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组织，“苏采云”系统将自动对项目进行开标，并宣布各供应商名称。开标过程如果有特殊情况需进行记录，由相关工作人员和采购人代表签字确认后随采购文件一并存档。</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Cs/>
          <w:color w:val="auto"/>
          <w:sz w:val="24"/>
          <w:szCs w:val="24"/>
          <w:highlight w:val="none"/>
        </w:rPr>
        <w:t xml:space="preserve">20.3 供应商在参与采购活动过程中涉及的响应文件解密等工作，应按照《操作手册》规定执行。因供应商自身原因，导致响应文件未能在规定时间内完成解密的，视为供应商撤销其响应文件；因电子交易平台发生故障，导致无法按时完成响应文件的，可根据实际情况相应延迟解密时间。本项目在限定的解密时间内，只要有一家供应商解密成功，即视为电子交易平台运行无故障</w:t>
      </w:r>
      <w:r>
        <w:rPr>
          <w:rFonts w:hint="eastAsia" w:ascii="宋体" w:hAnsi="宋体" w:eastAsia="宋体" w:cs="宋体"/>
          <w:bCs/>
          <w:color w:val="auto"/>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21、磋商程序</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bookmarkStart w:id="12" w:name="OLE_LINK108"/>
      <w:r/>
      <w:bookmarkStart w:id="13" w:name="OLE_LINK90"/>
      <w:r>
        <w:rPr>
          <w:rFonts w:hint="eastAsia" w:ascii="宋体" w:hAnsi="宋体" w:eastAsia="宋体" w:cs="宋体"/>
          <w:bCs/>
          <w:color w:val="auto"/>
          <w:sz w:val="24"/>
          <w:szCs w:val="24"/>
          <w:highlight w:val="none"/>
        </w:rPr>
        <w:t xml:space="preserve">21.1 具体评审事务由采购人依法组建的磋商小组（即评审委员会）负责，其成员由评审专家和采购人代表组成。 </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 磋商小组按照磋商文件的要求对供应商进行资格性及符合性审查。未通过资格性或符合性审查的，其报价无效。</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21.2.1 资格性审查是指磋商小组按照磋商文件的要求对响应文件中的资格证明文件进行审查。</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21.2.2 磋商小组在进行资格审查的同时，将通过“信用中国”网站（www.creditchina.gov.cn）、中国政府采购网(www.ccgp.gov.cn)查询供应商在递交响应文件截止时间之前，是否被列入失信被执行人、重大税收违法失信主体、政府采购严重违法失信行为记录名单（在限制期内），以确定供应商是否具备报价资格，查询结果留存并归档。若在以上两个网站查询不到供应商企业信息的，以供应商提供的资格声明函中作出的无不良信用记录承诺为准。</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21.2.3 符合性审查是指磋商小组从响应文件的有效性、完整性和对磋商文件的响应程度进行审查，以确定是否对磋商文件的实质性要求作出响应。实质性响应的报价应该是与磋商文件要求的全部条款、条件和规格相符，没有重大偏离或保留的报价。</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 磋商小组确定磋商程序和磋商内容后，磋商小组所有成员集中与单一供应商分别进行磋商，并给予所有参加磋商的供应商平等的磋商机会。</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21.5 磋商结束后，磋商小组将要求所有继续参加磋商的供应商在规定时间内通过电子交易平台提交第2次磋商报价（即最后报价），提交最后报价的供应商不得少于3家（市场竞争不充分的科研项目、需要扶持的科技成果转化项目，以及政府购买服务项目（含政府和社会资本合作项目），提交最后报价的供应商可以为2家）。最后报价是供应商响应文件的有效组成部分，若供应商未及时在系统中填报并确认最后报价，视为放弃磋商资格、退出磋商，其报价无效。</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21.6 已提交响应文件的供应商，在提交最后报价之前，可以根据磋商情况退出磋商。退出磋商的供应商，其报价无效。</w:t>
      </w:r>
      <w:r/>
    </w:p>
    <w:p>
      <w:pPr>
        <w:ind w:left="1"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21.7 磋商小组将对确定为实质性响应的报价进行进一步审核，确定其是否有计算上或累加上的算术错误，修正错误的原则如下：</w:t>
      </w:r>
      <w:r/>
    </w:p>
    <w:p>
      <w:pPr>
        <w:numPr>
          <w:ilvl w:val="0"/>
          <w:numId w:val="3"/>
        </w:numPr>
        <w:jc w:val="left"/>
        <w:spacing w:line="360" w:lineRule="auto"/>
        <w:rPr>
          <w:rFonts w:hint="eastAsia" w:ascii="宋体" w:hAnsi="宋体" w:eastAsia="宋体" w:cs="宋体"/>
          <w:b w:val="0"/>
          <w:bCs/>
          <w:color w:val="auto"/>
          <w:sz w:val="24"/>
          <w:szCs w:val="24"/>
          <w:lang w:val="zh-CN"/>
        </w:rPr>
      </w:pPr>
      <w:r/>
      <w:bookmarkStart w:id="14" w:name="OLE_LINK38"/>
      <w:r>
        <w:rPr>
          <w:rFonts w:hint="eastAsia" w:ascii="宋体" w:hAnsi="宋体" w:eastAsia="宋体" w:cs="宋体"/>
          <w:b w:val="0"/>
          <w:bCs/>
          <w:color w:val="auto"/>
          <w:sz w:val="24"/>
          <w:szCs w:val="24"/>
          <w:lang w:val="zh-CN"/>
        </w:rPr>
        <w:t xml:space="preserve">响应文件中磋商报价表内容与响应文件中相应内容不一致的，以磋商报价表为准；</w:t>
      </w:r>
      <w:r/>
    </w:p>
    <w:p>
      <w:pPr>
        <w:numPr>
          <w:ilvl w:val="0"/>
          <w:numId w:val="3"/>
        </w:numPr>
        <w:jc w:val="left"/>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大写金额和小写金额不一致的，以大写金额为准；</w:t>
      </w:r>
      <w:r/>
    </w:p>
    <w:p>
      <w:pPr>
        <w:numPr>
          <w:ilvl w:val="0"/>
          <w:numId w:val="3"/>
        </w:numPr>
        <w:jc w:val="left"/>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单价金额小数点或者百分比有明显错位的，以磋商报价表的总价为准，并修改单价；</w:t>
      </w:r>
      <w:r/>
    </w:p>
    <w:p>
      <w:pPr>
        <w:numPr>
          <w:ilvl w:val="0"/>
          <w:numId w:val="3"/>
        </w:numPr>
        <w:jc w:val="left"/>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总价金额与按单价汇总金额不一致的，以单价金额计算结果为准。</w:t>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同时出现两种以上不一致的，按照前款规定的顺序修正。磋商小组将按上述修正错误的方法调整响应文件中的报价，并通过“苏采云”系统告知供应商，调整后的价格应对供应商具有约束力。如果供应商不确认或不接受修正后的价格，则其报价将被拒绝，其报价无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21.8 澄清有关问题。</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21.8.1 对响应文件中含义不明确、同类问题表述不一致或者有明显文字和计算错误的内容，磋商小组可以发起询标，要求供应商作出必要的澄清、说明或者纠正。供应商的澄清、说明或者补正不得超出响应文件的范围或者改变响应文件的实质性内容。</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21.8.2 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21.8.3 接到磋商小组澄清、说明和补正要求的供应商如未按规定及时做出澄清、说明和补正，其风险由供应商自行承担</w:t>
      </w:r>
      <w:r>
        <w:rPr>
          <w:rFonts w:hint="eastAsia" w:ascii="宋体" w:hAnsi="宋体" w:eastAsia="宋体" w:cs="宋体"/>
          <w:bCs/>
          <w:color w:val="auto"/>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22、评审过程的保密与公正</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凡是与审查、澄清、评价和比较报价的有关资料以及授标建议等，采购人、评委、</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均不得向供应商或与评审无关的其他人员透露。</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在评审过程中，供应商不得以任何行为影响评审过程，否则其响应文件将被作为无效响应文件。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和磋商小组不向未成交的供应商解释未成交原因，也不公布评审过程中的相关细节。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22.4</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采用综合评分法的项目，未成交的供应商可于成交结果公告发布后通过“苏采云”系统查看自己的评审得分及排序情况</w:t>
      </w:r>
      <w:r>
        <w:rPr>
          <w:rFonts w:hint="eastAsia" w:ascii="宋体" w:hAnsi="宋体" w:eastAsia="宋体" w:cs="宋体"/>
          <w:bCs/>
          <w:color w:val="auto"/>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23、确定成交供应商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 磋商小组根据磋商文件规定的评标方法和评标标准进行评审，按磋商文件的要求依法选取成交候选人，成交候选人的选取原则和数量见磋商文件第四章规定。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 评审结束后，采购人依照法律规定在收到评审报告后5个工作日内，在评审报告推荐的成交候选人中按顺序确定成交供应商。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23.3 成交结果确认后，</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将向成交供应商发出电子成交通知书，请成交供应商登录“苏采云” 系统及时下载成交通知书。因系统存储空间有限，自成交结果公告发布之日起30日后，“苏采云” 系统不再保证提供下载成交通知书服务。因未及时下载而造成的一切后果由成交供应商自行承担。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23.4 </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将在“江苏政府采购网”发布成交公告，公告期限为1个工作日。</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23.5 未通过资格审查或符合性审查的供应商，将在“苏采云”系统中告知未通过资格审查或符合性审查的原因，评审结束后，将不再告知未通过资格审查和符合性审查的原因</w:t>
      </w:r>
      <w:r>
        <w:rPr>
          <w:rFonts w:hint="eastAsia" w:ascii="宋体" w:hAnsi="宋体" w:eastAsia="宋体" w:cs="宋体"/>
          <w:bCs/>
          <w:color w:val="auto"/>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24、采购终止</w:t>
      </w:r>
      <w:r/>
    </w:p>
    <w:p>
      <w:p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24.1 </w:t>
      </w:r>
      <w:r>
        <w:rPr>
          <w:rFonts w:hint="eastAsia" w:ascii="宋体" w:hAnsi="宋体" w:eastAsia="宋体" w:cs="宋体"/>
          <w:bCs/>
          <w:color w:val="auto"/>
          <w:sz w:val="24"/>
          <w:szCs w:val="24"/>
          <w:lang w:val="zh-CN"/>
        </w:rPr>
        <w:t xml:space="preserve">在竞争性磋商方式采购中，出现下列情况之一的，本次采购活动终止：</w:t>
      </w:r>
      <w:r/>
    </w:p>
    <w:p>
      <w:pPr>
        <w:numPr>
          <w:ilvl w:val="0"/>
          <w:numId w:val="4"/>
        </w:numPr>
        <w:jc w:val="left"/>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因情况变化，不再符合规定的竞争性磋商方式采购方式适用情形的；</w:t>
      </w:r>
      <w:r/>
    </w:p>
    <w:p>
      <w:pPr>
        <w:numPr>
          <w:ilvl w:val="0"/>
          <w:numId w:val="4"/>
        </w:numPr>
        <w:jc w:val="left"/>
        <w:spacing w:line="360" w:lineRule="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 xml:space="preserve">出现影响采购公正的违法、违规行为的；</w:t>
      </w:r>
      <w:r/>
    </w:p>
    <w:p>
      <w:pPr>
        <w:numPr>
          <w:ilvl w:val="0"/>
          <w:numId w:val="4"/>
        </w:num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lang w:val="zh-CN"/>
        </w:rPr>
        <w:t xml:space="preserve">除市场竞争不充分的科研项目、需要扶持的科技成果转化项目</w:t>
      </w:r>
      <w:r>
        <w:rPr>
          <w:rFonts w:hint="eastAsia" w:ascii="宋体" w:hAnsi="宋体" w:eastAsia="宋体" w:cs="宋体"/>
          <w:b w:val="0"/>
          <w:bCs/>
          <w:color w:val="auto"/>
          <w:sz w:val="24"/>
          <w:szCs w:val="24"/>
        </w:rPr>
        <w:t xml:space="preserve">以及</w:t>
      </w:r>
      <w:r>
        <w:rPr>
          <w:rFonts w:hint="eastAsia" w:ascii="宋体" w:hAnsi="宋体" w:eastAsia="宋体" w:cs="宋体"/>
          <w:b w:val="0"/>
          <w:bCs/>
          <w:color w:val="auto"/>
          <w:sz w:val="24"/>
          <w:szCs w:val="24"/>
          <w:lang w:val="zh-CN"/>
        </w:rPr>
        <w:t xml:space="preserve">政府购买服务项目（含政府和社会资本合作项目）以外，在采购过程中符合竞争要求的供应商或者报价未超过采购预算、最高限价的供应商不足3家的。</w:t>
      </w:r>
      <w:r/>
    </w:p>
    <w:p>
      <w:pPr>
        <w:numPr>
          <w:ilvl w:val="0"/>
          <w:numId w:val="4"/>
        </w:numPr>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rPr>
        <w:t xml:space="preserve">磋商小组认定磋商文件存在歧义、重大缺陷导致评审工作无法进行。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六、磋商保证金</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、磋商保证金：</w:t>
      </w:r>
      <w:r>
        <w:rPr>
          <w:rFonts w:hint="eastAsia" w:ascii="宋体" w:hAnsi="宋体" w:eastAsia="宋体" w:cs="宋体"/>
          <w:bCs/>
          <w:color w:val="auto"/>
          <w:sz w:val="24"/>
          <w:szCs w:val="24"/>
          <w:highlight w:val="none"/>
        </w:rPr>
        <w:t xml:space="preserve">本项目免收磋商保证金。</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七、签订</w:t>
      </w:r>
      <w:r>
        <w:rPr>
          <w:rFonts w:hint="eastAsia" w:ascii="宋体" w:hAnsi="宋体" w:eastAsia="宋体" w:cs="宋体"/>
          <w:b/>
          <w:color w:val="auto"/>
          <w:sz w:val="24"/>
          <w:szCs w:val="24"/>
          <w:highlight w:val="none"/>
          <w:lang w:val="zh-CN"/>
        </w:rPr>
        <w:t xml:space="preserve">合同</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、签订合同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 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26.2 成交供应商应于成交通知书发出之日起30日内，按照采购文件确定的事项与采购人签订政府采购合同；采购人应于政府采购合同签订之日起2个工作日内对合同进行公告，并于7个工作日内将合同副本报同级财政监管部门备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成交供应商如逾期不办理相关手续、签订合同，财政部门将依据有关规定进行处理。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如遇特殊情况，采购人及财政部门可延期签订合同。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 签订合同书及合同条款应以磋商文件和成交供应商的响应文件为依据。</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 签订合同前，采购人有权要求成交供应商提交履约保证金，履约保证金的数额不超过政府采购合同总金额的10%。采购人应当允许供应商自主选择以电子履约保函等非现金形式缴纳或提交，并与成交供应商在采购合同中约定履约保证金退还的方式、时间、条件和不予退还的情形，明确逾期退还履约保证金的违约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26.5 采购合同履行中，采购人需追加与合同标的相同货物的，在不改变合同其他条款的前提下，可以与成交供应商协商签订补充合同，但所有补充合同的采购金额不得超过原合同采购金额的百分之十。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26.6 成交供应商拒绝与采购人签订合同，或因不可抗力不能履行政府采购合同的，须要有明确的意思表示，并向采购人书面申明放弃合同，采购人可以按照评审报告推荐的成交候选人名单排序，视情况确定下一候选人为成交供应商，也可以重新开展政府采购活动。无正当理由拒绝签订合同的成交供应商，财政监管部门将视情对其处以采购金额千分之五以上千分之十以下的罚款，列入不良行为记录名单，在一至三年内禁止参加政府采购活动。拒绝签订政府采购合同的成交供应商不得参加对该项目重新开展的采购活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成交候选人放弃成交资格的，参照前款进行处理</w:t>
      </w:r>
      <w:r>
        <w:rPr>
          <w:rFonts w:hint="eastAsia" w:ascii="宋体" w:hAnsi="宋体" w:eastAsia="宋体" w:cs="宋体"/>
          <w:bCs/>
          <w:color w:val="auto"/>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27、“政采贷”、履约保函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27.1 成交供应商可采用合同融资形式，成交供应商可凭政府采购合同办理融资贷款，详见江苏政府采购网“政采贷”专栏。</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27.2 履约保函，是指由专业担保机构为中标（成交）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八、报价行为及报价产品</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、报价行为及报价产品：</w:t>
      </w:r>
      <w:r/>
    </w:p>
    <w:p>
      <w:pPr>
        <w:ind w:firstLine="480"/>
        <w:jc w:val="left"/>
        <w:spacing w:line="360" w:lineRule="auto"/>
        <w:rPr>
          <w:rFonts w:hint="eastAsia" w:ascii="宋体" w:hAnsi="宋体" w:eastAsia="宋体" w:cs="宋体"/>
          <w:bCs/>
          <w:color w:val="auto"/>
          <w:sz w:val="24"/>
          <w:szCs w:val="24"/>
          <w:lang w:val="zh-CN"/>
        </w:rPr>
      </w:pPr>
      <w:r/>
      <w:bookmarkStart w:id="15" w:name="OLE_LINK17"/>
      <w:r>
        <w:rPr>
          <w:rFonts w:hint="eastAsia" w:ascii="宋体" w:hAnsi="宋体" w:eastAsia="宋体" w:cs="宋体"/>
          <w:bCs/>
          <w:color w:val="auto"/>
          <w:sz w:val="24"/>
          <w:szCs w:val="24"/>
        </w:rPr>
        <w:t xml:space="preserve">28.1 </w:t>
      </w:r>
      <w:r>
        <w:rPr>
          <w:rFonts w:hint="eastAsia" w:ascii="宋体" w:hAnsi="宋体" w:eastAsia="宋体" w:cs="宋体"/>
          <w:bCs/>
          <w:color w:val="auto"/>
          <w:sz w:val="24"/>
          <w:szCs w:val="24"/>
          <w:lang w:val="zh-CN"/>
        </w:rPr>
        <w:t xml:space="preserve">供应商的行为必须遵守各项法律、法规、规章及相关制度的规定。</w:t>
      </w:r>
      <w:r/>
    </w:p>
    <w:p>
      <w:p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28.2 </w:t>
      </w:r>
      <w:r>
        <w:rPr>
          <w:rFonts w:hint="eastAsia" w:ascii="宋体" w:hAnsi="宋体" w:eastAsia="宋体" w:cs="宋体"/>
          <w:bCs/>
          <w:color w:val="auto"/>
          <w:sz w:val="24"/>
          <w:szCs w:val="24"/>
          <w:lang w:val="zh-CN"/>
        </w:rPr>
        <w:t xml:space="preserve">提供的服务及产品、产品安装（施工）等应符合国家、行业等相关标准及要求。</w:t>
      </w:r>
      <w:r/>
    </w:p>
    <w:p>
      <w:p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28.3 </w:t>
      </w:r>
      <w:r>
        <w:rPr>
          <w:rFonts w:hint="eastAsia" w:ascii="宋体" w:hAnsi="宋体" w:eastAsia="宋体" w:cs="宋体"/>
          <w:bCs/>
          <w:color w:val="auto"/>
          <w:sz w:val="24"/>
          <w:szCs w:val="24"/>
          <w:lang w:val="zh-CN"/>
        </w:rPr>
        <w:t xml:space="preserve">供应商提供的产品应是全新、未使用过的原装合格正品。</w:t>
      </w:r>
      <w:r>
        <w:rPr>
          <w:rFonts w:hint="eastAsia" w:ascii="宋体" w:hAnsi="宋体" w:eastAsia="宋体" w:cs="宋体"/>
          <w:bCs/>
          <w:color w:val="auto"/>
          <w:sz w:val="24"/>
          <w:szCs w:val="24"/>
        </w:rPr>
        <w:t xml:space="preserve">供应商成交后，在供货期内如遇产品平滑（自然）升级，成交供应商应提供平滑升级商品不补差价（磋商文件中有特殊要求的除外）。</w:t>
      </w:r>
      <w:r/>
    </w:p>
    <w:p>
      <w:p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28.4 </w:t>
      </w:r>
      <w:r>
        <w:rPr>
          <w:rFonts w:hint="eastAsia" w:ascii="宋体" w:hAnsi="宋体" w:eastAsia="宋体" w:cs="宋体"/>
          <w:bCs/>
          <w:color w:val="auto"/>
          <w:sz w:val="24"/>
          <w:szCs w:val="24"/>
          <w:lang w:val="zh-CN"/>
        </w:rPr>
        <w:t xml:space="preserve">磋商文件中要求供应商出具的证书、证明等相关材料，应当能实质性证明采购需求中的相关要求，且均应在有效期限内，即有效期限应覆盖响应文件评审当日。</w:t>
      </w:r>
      <w:r/>
    </w:p>
    <w:p>
      <w:p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28.5 若本次采购包含软件开发，涉及源程序、源代码（包括今后升级后的源程序、源代码），数据库结构图、表间关系、开发文档、安装程序（制成光盘）的，成交供应商须按规定提供，软件版权归采购人所有。</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rPr>
        <w:t xml:space="preserve">28.6 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r>
        <w:rPr>
          <w:rFonts w:hint="eastAsia" w:ascii="宋体" w:hAnsi="宋体" w:eastAsia="宋体" w:cs="宋体"/>
          <w:bCs/>
          <w:color w:val="auto"/>
          <w:sz w:val="24"/>
          <w:szCs w:val="24"/>
          <w:highlight w:val="none"/>
          <w:lang w:val="zh-CN"/>
        </w:rPr>
        <w:t xml:space="preserve">。</w:t>
      </w:r>
      <w:bookmarkEnd w:id="15"/>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zh-CN"/>
        </w:rPr>
      </w:pPr>
      <w:r/>
      <w:bookmarkStart w:id="16" w:name="_Toc23122"/>
      <w:r>
        <w:rPr>
          <w:rFonts w:hint="eastAsia" w:ascii="宋体" w:hAnsi="宋体" w:eastAsia="宋体" w:cs="宋体"/>
          <w:b/>
          <w:color w:val="auto"/>
          <w:sz w:val="24"/>
          <w:szCs w:val="24"/>
          <w:highlight w:val="none"/>
          <w:lang w:val="zh-CN"/>
        </w:rPr>
        <w:t xml:space="preserve">九、验收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29.1 采购人将按照政府采购合同和磋商文件的规定以及供应商提供的技术、服务、安全标准等相关承诺，对供应商的履约情况进行验收并出具政府采购项目验收单。由采购人对成交供应商进行履约管理，并及时向成交供应商支付采购资金</w:t>
      </w:r>
      <w:r>
        <w:rPr>
          <w:rFonts w:hint="eastAsia" w:ascii="宋体" w:hAnsi="宋体" w:eastAsia="宋体" w:cs="宋体"/>
          <w:bCs/>
          <w:color w:val="auto"/>
          <w:sz w:val="24"/>
          <w:szCs w:val="24"/>
          <w:highlight w:val="none"/>
          <w:lang w:val="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十、质疑处理</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bookmarkStart w:id="17" w:name="OLE_LINK41"/>
      <w:r/>
      <w:bookmarkStart w:id="18" w:name="OLE_LINK126"/>
      <w:r>
        <w:rPr>
          <w:rFonts w:hint="eastAsia" w:ascii="宋体" w:hAnsi="宋体" w:eastAsia="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rPr>
        <w:t xml:space="preserve">、询问</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30.1 供应商对采购活动事项有疑问的，可以向采购人提出询问，采购人将在三个工作日内作出答复，但答复的内容不得涉及商业秘密；供应商也可以向采购人委托的代理机构提出询问，代理机构就采购人委托授权范围内的事项作出答复。</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采购代理机构</w:t>
      </w:r>
      <w:r>
        <w:rPr>
          <w:rFonts w:hint="eastAsia" w:ascii="宋体" w:hAnsi="宋体" w:eastAsia="宋体" w:cs="宋体"/>
          <w:bCs/>
          <w:color w:val="auto"/>
          <w:sz w:val="24"/>
          <w:szCs w:val="24"/>
          <w:highlight w:val="none"/>
        </w:rPr>
        <w:t xml:space="preserve">不负责向任何供应商解释评审情况</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31</w:t>
      </w:r>
      <w:r>
        <w:rPr>
          <w:rFonts w:hint="eastAsia" w:ascii="宋体" w:hAnsi="宋体" w:eastAsia="宋体" w:cs="宋体"/>
          <w:b/>
          <w:bCs w:val="0"/>
          <w:color w:val="auto"/>
          <w:sz w:val="24"/>
          <w:szCs w:val="24"/>
          <w:highlight w:val="none"/>
        </w:rPr>
        <w:t xml:space="preserve">、质疑</w:t>
      </w:r>
      <w:r/>
    </w:p>
    <w:p>
      <w:p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31.1</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"http://download.ccgp.gov.cn/2018/zhiyihanfanben.zip" \o "http://download.ccgp.gov.cn/2018/zhiyihanfanben.zip"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zh-CN"/>
        </w:rPr>
        <w:t xml:space="preserve">政府采购供应商质疑函范本</w:t>
      </w:r>
      <w:r>
        <w:rPr>
          <w:rFonts w:hint="eastAsia" w:ascii="宋体" w:hAnsi="宋体" w:eastAsia="宋体" w:cs="宋体"/>
          <w:bCs/>
          <w:color w:val="auto"/>
          <w:sz w:val="24"/>
          <w:szCs w:val="24"/>
          <w:lang w:val="zh-CN"/>
        </w:rPr>
        <w:fldChar w:fldCharType="end"/>
      </w:r>
      <w:r>
        <w:rPr>
          <w:rFonts w:hint="eastAsia" w:ascii="宋体" w:hAnsi="宋体" w:eastAsia="宋体" w:cs="宋体"/>
          <w:bCs/>
          <w:color w:val="auto"/>
          <w:sz w:val="24"/>
          <w:szCs w:val="24"/>
          <w:lang w:val="zh-CN"/>
        </w:rPr>
        <w:t xml:space="preserve">》）。同一项目下的不同采购包，供应商只能对其参与的采购包提出质疑。</w:t>
      </w:r>
      <w:r/>
    </w:p>
    <w:p>
      <w:pPr>
        <w:ind w:firstLine="48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31</w:t>
      </w:r>
      <w:r>
        <w:rPr>
          <w:rFonts w:hint="eastAsia" w:ascii="宋体" w:hAnsi="宋体" w:eastAsia="宋体" w:cs="宋体"/>
          <w:bCs/>
          <w:color w:val="auto"/>
          <w:sz w:val="24"/>
          <w:szCs w:val="24"/>
          <w:lang w:val="zh-CN"/>
        </w:rPr>
        <w:t xml:space="preserve">.2</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lang w:val="zh-CN"/>
        </w:rPr>
        <w:t xml:space="preserve">质疑答复责任主体：</w:t>
      </w:r>
      <w:r/>
    </w:p>
    <w:p>
      <w:pPr>
        <w:numPr>
          <w:ilvl w:val="0"/>
          <w:numId w:val="5"/>
        </w:num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zh-CN"/>
        </w:rPr>
        <w:t xml:space="preserve">根据《中华人民共和国政府采购法》</w:t>
      </w:r>
      <w:r>
        <w:rPr>
          <w:rFonts w:hint="eastAsia" w:ascii="宋体" w:hAnsi="宋体" w:eastAsia="宋体" w:cs="宋体"/>
          <w:bCs/>
          <w:color w:val="auto"/>
          <w:sz w:val="24"/>
          <w:szCs w:val="24"/>
        </w:rPr>
        <w:t xml:space="preserve">五十一条、五十二条、五十三条规定，</w:t>
      </w:r>
      <w:r>
        <w:rPr>
          <w:rFonts w:hint="eastAsia" w:ascii="宋体" w:hAnsi="宋体" w:eastAsia="宋体" w:cs="宋体"/>
          <w:bCs/>
          <w:color w:val="auto"/>
          <w:sz w:val="24"/>
          <w:szCs w:val="24"/>
          <w:lang w:val="zh-CN"/>
        </w:rPr>
        <w:t xml:space="preserve">供应商认</w:t>
      </w:r>
      <w:r>
        <w:rPr>
          <w:rFonts w:hint="eastAsia" w:ascii="宋体" w:hAnsi="宋体" w:eastAsia="宋体" w:cs="宋体"/>
          <w:bCs/>
          <w:color w:val="auto"/>
          <w:sz w:val="24"/>
          <w:szCs w:val="24"/>
        </w:rPr>
        <w:t xml:space="preserve">为磋商文件、采购过程和成交结果使自己的权益受到损害的，可以在知道或者应当知道其权益受到损害之日起七个工作日内，以书面形式向采购人提出质疑。</w:t>
      </w:r>
      <w:r/>
    </w:p>
    <w:p>
      <w:pPr>
        <w:numPr>
          <w:ilvl w:val="0"/>
          <w:numId w:val="5"/>
        </w:numPr>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供应商认为采购程序及流程操作使自己的权益受到损害的，可以向采购人提出质疑，也可以在法律规定时间内向采购代理机构提出质疑，采购</w:t>
      </w:r>
      <w:r>
        <w:rPr>
          <w:rFonts w:hint="eastAsia" w:ascii="宋体" w:hAnsi="宋体" w:eastAsia="宋体" w:cs="宋体"/>
          <w:bCs/>
          <w:color w:val="auto"/>
          <w:sz w:val="24"/>
          <w:szCs w:val="24"/>
          <w:lang w:val="zh-CN"/>
        </w:rPr>
        <w:t xml:space="preserve">代理机构就采购人委托授权范围内的事项作出答复。</w:t>
      </w:r>
      <w:r/>
    </w:p>
    <w:p>
      <w:pPr>
        <w:ind w:firstLine="420"/>
        <w:jc w:val="left"/>
        <w:spacing w:line="360" w:lineRule="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31</w:t>
      </w:r>
      <w:r>
        <w:rPr>
          <w:rFonts w:hint="eastAsia" w:ascii="宋体" w:hAnsi="宋体" w:eastAsia="宋体" w:cs="宋体"/>
          <w:bCs/>
          <w:color w:val="auto"/>
          <w:sz w:val="24"/>
          <w:szCs w:val="24"/>
          <w:lang w:val="zh-CN"/>
        </w:rPr>
        <w:t xml:space="preserve">.3 质疑时效期间的起算：对磋商文件提出质疑的，应自</w:t>
      </w:r>
      <w:r>
        <w:rPr>
          <w:rFonts w:hint="eastAsia" w:ascii="宋体" w:hAnsi="宋体" w:eastAsia="宋体" w:cs="宋体"/>
          <w:bCs/>
          <w:color w:val="auto"/>
          <w:sz w:val="24"/>
          <w:szCs w:val="24"/>
        </w:rPr>
        <w:t xml:space="preserve">采购</w:t>
      </w:r>
      <w:r>
        <w:rPr>
          <w:rFonts w:hint="eastAsia" w:ascii="宋体" w:hAnsi="宋体" w:eastAsia="宋体" w:cs="宋体"/>
          <w:bCs/>
          <w:color w:val="auto"/>
          <w:sz w:val="24"/>
          <w:szCs w:val="24"/>
          <w:lang w:val="zh-CN"/>
        </w:rPr>
        <w:t xml:space="preserve">公告期限届满之日起计算，</w:t>
      </w:r>
      <w:bookmarkStart w:id="19" w:name="_Hlk170477102"/>
      <w:r>
        <w:rPr>
          <w:rFonts w:hint="eastAsia" w:ascii="宋体" w:hAnsi="宋体" w:eastAsia="宋体" w:cs="宋体"/>
          <w:bCs/>
          <w:color w:val="auto"/>
          <w:sz w:val="24"/>
          <w:szCs w:val="24"/>
          <w:lang w:val="zh-CN"/>
        </w:rPr>
        <w:t xml:space="preserve">本次采购供应商应当收到采购文件期限和采购文件公告届满期限均为采购公告发布之日起三个工作日</w:t>
      </w:r>
      <w:bookmarkEnd w:id="19"/>
      <w:r>
        <w:rPr>
          <w:rFonts w:hint="eastAsia" w:ascii="宋体" w:hAnsi="宋体" w:eastAsia="宋体" w:cs="宋体"/>
          <w:bCs/>
          <w:color w:val="auto"/>
          <w:sz w:val="24"/>
          <w:szCs w:val="24"/>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rPr>
        <w:t xml:space="preserve">31.4 </w:t>
      </w:r>
      <w:r>
        <w:rPr>
          <w:rFonts w:hint="eastAsia" w:ascii="宋体" w:hAnsi="宋体" w:eastAsia="宋体" w:cs="宋体"/>
          <w:bCs/>
          <w:color w:val="auto"/>
          <w:sz w:val="24"/>
          <w:szCs w:val="24"/>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32、投诉</w:t>
      </w:r>
      <w:bookmarkEnd w:id="17"/>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rPr>
        <w:sectPr>
          <w:footnotePr/>
          <w:endnotePr/>
          <w:type w:val="nextPage"/>
          <w:pgSz w:w="11906" w:h="16838" w:orient="portrait"/>
          <w:pgMar w:top="1134" w:right="1134" w:bottom="1134" w:left="1134" w:header="851" w:footer="992" w:gutter="0"/>
          <w:cols w:num="1" w:sep="0" w:space="720" w:equalWidth="1"/>
          <w:docGrid w:linePitch="360"/>
        </w:sectPr>
      </w:pPr>
      <w:r/>
      <w:bookmarkStart w:id="20" w:name="OLE_LINK229"/>
      <w:r/>
      <w:bookmarkStart w:id="21" w:name="OLE_LINK111"/>
      <w:r>
        <w:rPr>
          <w:rFonts w:hint="eastAsia" w:ascii="宋体" w:hAnsi="宋体" w:eastAsia="宋体" w:cs="宋体"/>
          <w:bCs/>
          <w:color w:val="auto"/>
          <w:sz w:val="24"/>
          <w:szCs w:val="24"/>
          <w:highlight w:val="none"/>
        </w:rPr>
        <w:t xml:space="preserve">32.1 质疑供应商对采购人的答复不满意或者采购人未在规定的时间内作出答复的，可以在答复期满后十五个工作日内向报价邀请函中的财政监管部门提出投诉</w:t>
      </w:r>
      <w:r>
        <w:rPr>
          <w:rFonts w:hint="eastAsia" w:ascii="宋体" w:hAnsi="宋体" w:eastAsia="宋体" w:cs="宋体"/>
          <w:bCs/>
          <w:color w:val="auto"/>
          <w:sz w:val="24"/>
          <w:szCs w:val="24"/>
          <w:highlight w:val="none"/>
          <w:lang w:val="zh-CN"/>
        </w:rPr>
        <w:t xml:space="preserve">。</w:t>
      </w:r>
      <w:bookmarkEnd w:id="18"/>
      <w:r/>
      <w:bookmarkEnd w:id="20"/>
      <w:r/>
      <w:bookmarkEnd w:id="21"/>
      <w:r/>
      <w:r/>
    </w:p>
    <w:p>
      <w:pPr>
        <w:ind w:firstLine="480"/>
        <w:jc w:val="center"/>
        <w:keepLines w:val="0"/>
        <w:keepNext w:val="0"/>
        <w:pageBreakBefore w:val="0"/>
        <w:spacing w:line="360" w:lineRule="auto"/>
        <w:widowControl w:val="off"/>
        <w:rPr>
          <w:rFonts w:hint="eastAsia" w:ascii="宋体" w:hAnsi="宋体" w:eastAsia="宋体" w:cs="宋体"/>
          <w:color w:val="auto"/>
          <w:sz w:val="28"/>
          <w:highlight w:val="none"/>
        </w:rPr>
        <w:outlineLvl w:val="0"/>
      </w:pPr>
      <w:r/>
      <w:bookmarkStart w:id="22" w:name="_Toc10803"/>
      <w:r>
        <w:rPr>
          <w:rFonts w:hint="eastAsia" w:ascii="黑体" w:hAnsi="黑体" w:eastAsia="黑体" w:cs="Times New Roman"/>
          <w:color w:val="auto"/>
          <w:sz w:val="28"/>
          <w:highlight w:val="none"/>
        </w:rPr>
        <w:t xml:space="preserve">第三章 项目技术要求和有关说明</w:t>
      </w:r>
      <w:bookmarkEnd w:id="16"/>
      <w:r/>
      <w:bookmarkEnd w:id="22"/>
      <w:r/>
      <w:r/>
    </w:p>
    <w:p>
      <w:pPr>
        <w:ind w:firstLine="480"/>
        <w:keepLines w:val="0"/>
        <w:keepNext w:val="0"/>
        <w:pageBreakBefore w:val="0"/>
        <w:spacing w:line="360" w:lineRule="auto"/>
        <w:widowControl w:val="off"/>
        <w:rPr>
          <w:rFonts w:hint="eastAsia" w:ascii="宋体" w:hAnsi="宋体" w:eastAsia="宋体" w:cs="宋体"/>
          <w:color w:val="auto"/>
          <w:sz w:val="24"/>
          <w:szCs w:val="32"/>
        </w:rPr>
      </w:pPr>
      <w:r/>
      <w:bookmarkStart w:id="23" w:name="_Toc526779129"/>
      <w:r/>
      <w:bookmarkStart w:id="24" w:name="_Toc27627"/>
      <w:r/>
      <w:bookmarkStart w:id="25" w:name="OLE_LINK13"/>
      <w:r/>
      <w:bookmarkStart w:id="26" w:name="OLE_LINK91"/>
      <w:r/>
      <w:bookmarkStart w:id="27" w:name="_Toc3082"/>
      <w:r/>
      <w:r/>
    </w:p>
    <w:p>
      <w:pPr>
        <w:ind w:firstLine="480"/>
        <w:keepLines w:val="0"/>
        <w:keepNext w:val="0"/>
        <w:pageBreakBefore w:val="0"/>
        <w:spacing w:line="520" w:lineRule="exact"/>
        <w:widowControl w:val="off"/>
        <w:rPr>
          <w:rFonts w:hint="eastAsia" w:ascii="宋体" w:hAnsi="宋体" w:eastAsia="宋体" w:cs="宋体"/>
          <w:color w:val="auto"/>
          <w:sz w:val="24"/>
          <w:szCs w:val="32"/>
        </w:rPr>
      </w:pPr>
      <w:r>
        <w:rPr>
          <w:rFonts w:hint="eastAsia" w:ascii="宋体" w:hAnsi="宋体" w:eastAsia="宋体" w:cs="宋体"/>
          <w:color w:val="auto"/>
          <w:sz w:val="24"/>
          <w:szCs w:val="32"/>
        </w:rPr>
        <w:t xml:space="preserve">本项目为</w:t>
      </w:r>
      <w:r>
        <w:rPr>
          <w:rFonts w:hint="eastAsia" w:ascii="宋体" w:hAnsi="宋体" w:cs="宋体"/>
          <w:color w:val="auto"/>
          <w:sz w:val="24"/>
          <w:szCs w:val="32"/>
          <w:lang w:eastAsia="zh-CN"/>
        </w:rPr>
        <w:t xml:space="preserve">宜兴市杨巷镇人民政府</w:t>
      </w:r>
      <w:r>
        <w:rPr>
          <w:rFonts w:hint="eastAsia" w:ascii="宋体" w:hAnsi="宋体" w:eastAsia="宋体" w:cs="宋体"/>
          <w:color w:val="auto"/>
          <w:sz w:val="24"/>
          <w:szCs w:val="32"/>
        </w:rPr>
        <w:t xml:space="preserve">的</w:t>
      </w:r>
      <w:r>
        <w:rPr>
          <w:rFonts w:hint="eastAsia" w:ascii="宋体" w:hAnsi="宋体" w:cs="宋体"/>
          <w:color w:val="auto"/>
          <w:sz w:val="24"/>
          <w:szCs w:val="32"/>
          <w:lang w:eastAsia="zh-CN"/>
        </w:rPr>
        <w:t xml:space="preserve">杨巷镇生活污水“全收集全处理”提质提标工作前期服务项目</w:t>
      </w:r>
      <w:r>
        <w:rPr>
          <w:rFonts w:hint="eastAsia" w:ascii="宋体" w:hAnsi="宋体" w:eastAsia="宋体" w:cs="宋体"/>
          <w:color w:val="auto"/>
          <w:sz w:val="24"/>
          <w:szCs w:val="32"/>
        </w:rPr>
        <w:t xml:space="preserve">，具体要求如下：</w:t>
      </w:r>
      <w:r/>
    </w:p>
    <w:p>
      <w:pPr>
        <w:ind w:firstLine="482"/>
        <w:keepLines w:val="0"/>
        <w:keepNext w:val="0"/>
        <w:pageBreakBefore w:val="0"/>
        <w:spacing w:line="520" w:lineRule="exact"/>
        <w:widowControl w:val="off"/>
        <w:rPr>
          <w:rFonts w:hint="eastAsia" w:ascii="宋体" w:hAnsi="宋体" w:eastAsia="宋体" w:cs="宋体"/>
          <w:b/>
          <w:bCs/>
          <w:color w:val="auto"/>
          <w:sz w:val="24"/>
          <w:szCs w:val="32"/>
          <w:lang w:eastAsia="zh-CN"/>
        </w:rPr>
      </w:pPr>
      <w:r>
        <w:rPr>
          <w:rFonts w:hint="eastAsia" w:ascii="宋体" w:hAnsi="宋体" w:eastAsia="宋体" w:cs="宋体"/>
          <w:b/>
          <w:bCs/>
          <w:color w:val="auto"/>
          <w:sz w:val="24"/>
          <w:szCs w:val="32"/>
        </w:rPr>
        <w:t xml:space="preserve">一、</w:t>
      </w:r>
      <w:r>
        <w:rPr>
          <w:rFonts w:hint="eastAsia" w:ascii="宋体" w:hAnsi="宋体" w:cs="宋体"/>
          <w:b/>
          <w:bCs/>
          <w:color w:val="auto"/>
          <w:sz w:val="24"/>
          <w:szCs w:val="32"/>
          <w:lang w:eastAsia="zh-CN"/>
        </w:rPr>
        <w:t xml:space="preserve">项目概况</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当前，太湖水质形势严峻，宜兴市紧邻太湖，肩负着艰巨的污染治理任务。为持续改善宜兴市水生态环境质量，推动太湖水域水质根本性好转，宜兴市谋划实施生活污水全收集全处理提质提标攻坚专项行动。以污水全收集、能力全提升、雨污同治共管为目标导向，坚持系统观念、集成思维，突出源头治理、本质治污，推动规划、建设、管理齐抓并进，筑牢宜兴市生态环境治理根基。</w:t>
      </w:r>
      <w:r/>
    </w:p>
    <w:p>
      <w:pPr>
        <w:ind w:firstLine="482"/>
        <w:keepLines w:val="0"/>
        <w:keepNext w:val="0"/>
        <w:pageBreakBefore w:val="0"/>
        <w:spacing w:line="520" w:lineRule="exact"/>
        <w:widowControl w:val="off"/>
        <w:rPr>
          <w:rFonts w:hint="eastAsia" w:ascii="宋体" w:hAnsi="宋体" w:eastAsia="宋体" w:cs="宋体"/>
          <w:b/>
          <w:bCs/>
          <w:color w:val="auto"/>
          <w:sz w:val="24"/>
          <w:szCs w:val="32"/>
        </w:rPr>
      </w:pPr>
      <w:r>
        <w:rPr>
          <w:rFonts w:hint="eastAsia" w:ascii="宋体" w:hAnsi="宋体" w:eastAsia="宋体" w:cs="宋体"/>
          <w:b/>
          <w:bCs/>
          <w:color w:val="auto"/>
          <w:sz w:val="24"/>
          <w:szCs w:val="32"/>
        </w:rPr>
        <w:t xml:space="preserve">二、工作目标</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1、针对指定范围内的河道进行沿河排口摸底调查工作。采取人工现场排查的方式对沿河排口全面摸排，判断排口类型（城镇雨洪排口，农田退水排口，企业雨洪排口，畜禽、水产养殖排口），整理沿河排口本底清单和点位分布图。</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2、雨污水管网探测（测绘）。旨在查明管道的相关基础信息，包括：管道类型（雨水管、污水管、合流管、截流管）；管道平面位置、管道的走向和连接关系、管道流向；井盖标高及管内底标高；管径及管道材质；各类检查井室、化粪池、提升泵站等的规格（附污水检查井3张照片）。</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3、问题排口溯源、整改设计。对晴天旱流的城镇雨洪排口开展“四位一体”的溯源检测，查明原因并进行相应的雨污混接改造方案设计等。</w:t>
      </w:r>
      <w:r/>
    </w:p>
    <w:p>
      <w:pPr>
        <w:ind w:firstLine="482"/>
        <w:keepLines w:val="0"/>
        <w:keepNext w:val="0"/>
        <w:pageBreakBefore w:val="0"/>
        <w:spacing w:line="520" w:lineRule="exact"/>
        <w:widowControl w:val="off"/>
        <w:rPr>
          <w:rFonts w:hint="eastAsia" w:ascii="宋体" w:hAnsi="宋体" w:eastAsia="宋体" w:cs="宋体"/>
          <w:b/>
          <w:bCs/>
          <w:color w:val="auto"/>
          <w:sz w:val="24"/>
          <w:szCs w:val="32"/>
        </w:rPr>
      </w:pPr>
      <w:r>
        <w:rPr>
          <w:rFonts w:hint="eastAsia" w:ascii="宋体" w:hAnsi="宋体" w:eastAsia="宋体" w:cs="宋体"/>
          <w:b/>
          <w:bCs/>
          <w:color w:val="auto"/>
          <w:sz w:val="24"/>
          <w:szCs w:val="32"/>
        </w:rPr>
        <w:t xml:space="preserve">三、成果要求</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1、一口一档（沿河排口本底清单、点位分布图）；</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2、雨水管网一张图（CAD、影像图、地理信息系统）、污水管网一张图（CAD、影像图、地理信息系统）。</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3、农村污水、市政污水排水情况调查表（详见附件）；</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4、晴天旱流排口溯源报告；</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5、杨巷、新芳老街整改方案和设计图纸。</w:t>
      </w:r>
      <w:r/>
    </w:p>
    <w:p>
      <w:pPr>
        <w:ind w:firstLine="482"/>
        <w:keepLines w:val="0"/>
        <w:keepNext w:val="0"/>
        <w:pageBreakBefore w:val="0"/>
        <w:spacing w:line="520" w:lineRule="exact"/>
        <w:widowControl w:val="off"/>
        <w:rPr>
          <w:rFonts w:hint="eastAsia" w:eastAsia="宋体"/>
          <w:color w:val="auto"/>
          <w:lang w:eastAsia="zh-CN"/>
        </w:rPr>
      </w:pPr>
      <w:r>
        <w:rPr>
          <w:rFonts w:hint="eastAsia" w:ascii="宋体" w:hAnsi="宋体" w:eastAsia="宋体" w:cs="宋体"/>
          <w:b/>
          <w:bCs/>
          <w:color w:val="auto"/>
          <w:sz w:val="24"/>
          <w:szCs w:val="32"/>
          <w:lang w:eastAsia="zh-CN"/>
        </w:rPr>
        <w:t xml:space="preserve">四</w:t>
      </w:r>
      <w:r>
        <w:rPr>
          <w:rFonts w:hint="eastAsia" w:ascii="宋体" w:hAnsi="宋体" w:eastAsia="宋体" w:cs="宋体"/>
          <w:b/>
          <w:bCs/>
          <w:color w:val="auto"/>
          <w:sz w:val="24"/>
          <w:szCs w:val="32"/>
        </w:rPr>
        <w:t xml:space="preserve">、</w:t>
      </w:r>
      <w:r>
        <w:rPr>
          <w:rFonts w:hint="eastAsia" w:ascii="宋体" w:hAnsi="宋体" w:eastAsia="宋体" w:cs="宋体"/>
          <w:b/>
          <w:bCs/>
          <w:color w:val="auto"/>
          <w:sz w:val="24"/>
          <w:szCs w:val="32"/>
          <w:lang w:eastAsia="zh-CN"/>
        </w:rPr>
        <w:t xml:space="preserve">工作量清单</w:t>
      </w:r>
      <w:r/>
    </w:p>
    <w:tbl>
      <w:tblPr>
        <w:tblStyle w:val="948"/>
        <w:tblW w:w="97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2746"/>
        <w:gridCol w:w="4213"/>
        <w:gridCol w:w="2096"/>
      </w:tblGrid>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ind w:firstLine="0"/>
              <w:jc w:val="center"/>
              <w:spacing w:before="0" w:line="24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ind w:firstLine="0"/>
              <w:jc w:val="center"/>
              <w:spacing w:before="0" w:line="24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服务类型</w:t>
            </w:r>
            <w:r/>
          </w:p>
        </w:tc>
        <w:tc>
          <w:tcPr>
            <w:shd w:val="clear" w:color="auto" w:fill="auto"/>
            <w:tcBorders>
              <w:top w:val="single" w:color="000000" w:sz="4" w:space="0"/>
              <w:left w:val="single" w:color="000000" w:sz="4" w:space="0"/>
              <w:bottom w:val="single" w:color="000000" w:sz="4" w:space="0"/>
              <w:right w:val="single" w:color="000000" w:sz="4" w:space="0"/>
            </w:tcBorders>
            <w:tcW w:w="4213" w:type="dxa"/>
            <w:vAlign w:val="center"/>
            <w:textDirection w:val="lrTb"/>
            <w:noWrap/>
          </w:tcPr>
          <w:p>
            <w:pPr>
              <w:ind w:firstLine="0"/>
              <w:jc w:val="center"/>
              <w:spacing w:before="0" w:line="24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2096" w:type="dxa"/>
            <w:vAlign w:val="center"/>
            <w:textDirection w:val="lrTb"/>
            <w:noWrap/>
          </w:tcPr>
          <w:p>
            <w:pPr>
              <w:ind w:firstLine="0"/>
              <w:jc w:val="center"/>
              <w:spacing w:before="0" w:line="24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工作量（预估）</w:t>
            </w:r>
            <w:r/>
          </w:p>
        </w:tc>
      </w:tr>
      <w:tr>
        <w:trPr>
          <w:jc w:val="center"/>
          <w:trHeight w:val="680"/>
        </w:trPr>
        <w:tc>
          <w:tcPr>
            <w:shd w:val="clear" w:color="auto" w:fill="auto"/>
            <w:tcBorders>
              <w:top w:val="single" w:color="000000" w:sz="4" w:space="0"/>
              <w:left w:val="single" w:color="000000" w:sz="4" w:space="0"/>
              <w:bottom w:val="single" w:color="auto" w:sz="4" w:space="0"/>
              <w:right w:val="single" w:color="000000"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2746"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沿河排口</w:t>
            </w:r>
            <w:r/>
          </w:p>
        </w:tc>
        <w:tc>
          <w:tcPr>
            <w:shd w:val="clear" w:color="auto" w:fill="auto"/>
            <w:tcBorders>
              <w:top w:val="single" w:color="000000" w:sz="4" w:space="0"/>
              <w:left w:val="single" w:color="000000" w:sz="4" w:space="0"/>
              <w:bottom w:val="single" w:color="auto" w:sz="4" w:space="0"/>
              <w:right w:val="single" w:color="000000" w:sz="4" w:space="0"/>
            </w:tcBorders>
            <w:tcW w:w="4213" w:type="dxa"/>
            <w:vAlign w:val="center"/>
            <w:textDirection w:val="lrTb"/>
            <w:noWrap w:val="false"/>
          </w:tcPr>
          <w:p>
            <w:pPr>
              <w:ind w:firstLine="0"/>
              <w:jc w:val="left"/>
              <w:keepLines w:val="0"/>
              <w:keepNext w:val="0"/>
              <w:pageBreakBefore w:val="0"/>
              <w:spacing w:before="0"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河道沿河排口摸底调查，提供：排口信息清单、沿河排口一张图</w:t>
            </w:r>
            <w:r/>
          </w:p>
        </w:tc>
        <w:tc>
          <w:tcPr>
            <w:shd w:val="clear" w:color="auto" w:fill="auto"/>
            <w:tcBorders>
              <w:top w:val="single" w:color="000000" w:sz="4" w:space="0"/>
              <w:left w:val="single" w:color="000000" w:sz="4" w:space="0"/>
              <w:bottom w:val="single" w:color="auto" w:sz="4" w:space="0"/>
              <w:right w:val="single" w:color="000000" w:sz="4" w:space="0"/>
            </w:tcBorders>
            <w:tcW w:w="2096"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66km</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746"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市政雨水管网测绘</w:t>
            </w:r>
            <w:r/>
          </w:p>
        </w:tc>
        <w:tc>
          <w:tcPr>
            <w:shd w:val="clear" w:color="auto" w:fill="auto"/>
            <w:tcBorders>
              <w:top w:val="single" w:color="auto" w:sz="4" w:space="0"/>
              <w:left w:val="single" w:color="auto" w:sz="4" w:space="0"/>
              <w:bottom w:val="single" w:color="auto" w:sz="4" w:space="0"/>
              <w:right w:val="single" w:color="auto" w:sz="4" w:space="0"/>
            </w:tcBorders>
            <w:tcW w:w="4213" w:type="dxa"/>
            <w:vAlign w:val="center"/>
            <w:vMerge w:val="restart"/>
            <w:textDirection w:val="lrTb"/>
            <w:noWrap w:val="false"/>
          </w:tcPr>
          <w:p>
            <w:pPr>
              <w:ind w:firstLine="0"/>
              <w:jc w:val="left"/>
              <w:keepLines w:val="0"/>
              <w:keepNext w:val="0"/>
              <w:pageBreakBefore w:val="0"/>
              <w:spacing w:before="0"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雨污水管网探测（测绘）旨在查明管道的相关基础信息，包括：管道类型（雨水管、污水管、合流管、截流管）；管道平面位置、管道的走向和连接关系、管道流向；井盖标高及管内底标高；管径及管道材质；各类检查井室、化粪池、提升泵站等的规格。（附检查井3张照片）</w:t>
            </w:r>
            <w:r/>
          </w:p>
        </w:tc>
        <w:tc>
          <w:tcPr>
            <w:shd w:val="clear" w:color="auto" w:fill="auto"/>
            <w:tcBorders>
              <w:top w:val="single" w:color="auto" w:sz="4" w:space="0"/>
              <w:left w:val="single" w:color="auto" w:sz="4" w:space="0"/>
              <w:bottom w:val="single" w:color="auto" w:sz="4" w:space="0"/>
              <w:right w:val="single" w:color="auto" w:sz="4" w:space="0"/>
            </w:tcBorders>
            <w:tcW w:w="2096"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市政雨水：25km</w:t>
            </w:r>
            <w:r/>
          </w:p>
        </w:tc>
      </w:tr>
      <w:tr>
        <w:trPr>
          <w:jc w:val="center"/>
          <w:trHeight w:val="680"/>
        </w:trPr>
        <w:tc>
          <w:tcPr>
            <w:shd w:val="clear" w:color="auto" w:fill="auto"/>
            <w:tcBorders>
              <w:top w:val="single" w:color="auto" w:sz="4" w:space="0"/>
              <w:left w:val="single" w:color="000000" w:sz="4" w:space="0"/>
              <w:bottom w:val="single" w:color="000000" w:sz="4" w:space="0"/>
              <w:right w:val="single" w:color="auto"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746"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市政污水管网测绘</w:t>
            </w:r>
            <w:r/>
          </w:p>
        </w:tc>
        <w:tc>
          <w:tcPr>
            <w:shd w:val="clear" w:color="auto" w:fill="auto"/>
            <w:tcBorders>
              <w:top w:val="single" w:color="auto" w:sz="4" w:space="0"/>
              <w:left w:val="single" w:color="auto" w:sz="4" w:space="0"/>
              <w:bottom w:val="single" w:color="auto" w:sz="4" w:space="0"/>
              <w:right w:val="single" w:color="auto" w:sz="4" w:space="0"/>
            </w:tcBorders>
            <w:tcW w:w="4213" w:type="dxa"/>
            <w:vAlign w:val="center"/>
            <w:vMerge w:val="continue"/>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r>
            <w:r/>
          </w:p>
        </w:tc>
        <w:tc>
          <w:tcPr>
            <w:shd w:val="clear" w:color="auto" w:fill="auto"/>
            <w:tcBorders>
              <w:top w:val="single" w:color="auto" w:sz="4" w:space="0"/>
              <w:left w:val="single" w:color="auto" w:sz="4" w:space="0"/>
              <w:bottom w:val="single" w:color="000000" w:sz="4" w:space="0"/>
              <w:right w:val="single" w:color="000000" w:sz="4" w:space="0"/>
            </w:tcBorders>
            <w:tcW w:w="2096"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市政污水：24.8km</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auto"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746"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农村污水管网测绘</w:t>
            </w:r>
            <w:r/>
          </w:p>
        </w:tc>
        <w:tc>
          <w:tcPr>
            <w:shd w:val="clear" w:color="auto" w:fill="auto"/>
            <w:tcBorders>
              <w:top w:val="single" w:color="auto" w:sz="4" w:space="0"/>
              <w:left w:val="single" w:color="auto" w:sz="4" w:space="0"/>
              <w:bottom w:val="single" w:color="auto" w:sz="4" w:space="0"/>
              <w:right w:val="single" w:color="auto" w:sz="4" w:space="0"/>
            </w:tcBorders>
            <w:tcW w:w="4213" w:type="dxa"/>
            <w:vAlign w:val="center"/>
            <w:vMerge w:val="continue"/>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96"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农村污水：250km</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auto"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746"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住宅小区、公建单位内部管网测绘</w:t>
            </w:r>
            <w:r/>
          </w:p>
        </w:tc>
        <w:tc>
          <w:tcPr>
            <w:shd w:val="clear" w:color="auto" w:fill="auto"/>
            <w:tcBorders>
              <w:top w:val="single" w:color="auto" w:sz="4" w:space="0"/>
              <w:left w:val="single" w:color="auto" w:sz="4" w:space="0"/>
              <w:bottom w:val="single" w:color="auto" w:sz="4" w:space="0"/>
              <w:right w:val="single" w:color="auto" w:sz="4" w:space="0"/>
            </w:tcBorders>
            <w:tcW w:w="4213" w:type="dxa"/>
            <w:vAlign w:val="center"/>
            <w:vMerge w:val="continue"/>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2096"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雨水：22.9km</w:t>
            </w:r>
            <w:r>
              <w:rPr>
                <w:rFonts w:hint="eastAsia" w:ascii="宋体" w:hAnsi="宋体"/>
                <w:b w:val="0"/>
                <w:bCs w:val="0"/>
                <w:color w:val="auto"/>
                <w:sz w:val="24"/>
                <w:szCs w:val="24"/>
                <w:highlight w:val="none"/>
                <w:lang w:val="en-US" w:eastAsia="zh-CN"/>
              </w:rPr>
              <w:br/>
            </w:r>
            <w:r>
              <w:rPr>
                <w:rFonts w:hint="eastAsia" w:ascii="宋体" w:hAnsi="宋体"/>
                <w:b w:val="0"/>
                <w:bCs w:val="0"/>
                <w:color w:val="auto"/>
                <w:sz w:val="24"/>
                <w:szCs w:val="24"/>
                <w:highlight w:val="none"/>
                <w:lang w:val="en-US" w:eastAsia="zh-CN"/>
              </w:rPr>
              <w:t xml:space="preserve">污水：11.5km</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2746" w:type="dxa"/>
            <w:vAlign w:val="center"/>
            <w:vMerge w:val="restart"/>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雨污水管网、检查井</w:t>
            </w:r>
            <w:r>
              <w:rPr>
                <w:rFonts w:hint="eastAsia" w:ascii="宋体" w:hAnsi="宋体"/>
                <w:b w:val="0"/>
                <w:bCs w:val="0"/>
                <w:color w:val="auto"/>
                <w:sz w:val="24"/>
                <w:szCs w:val="24"/>
                <w:highlight w:val="none"/>
                <w:lang w:val="en-US" w:eastAsia="zh-CN"/>
              </w:rPr>
              <w:br/>
            </w:r>
            <w:r>
              <w:rPr>
                <w:rFonts w:hint="eastAsia" w:ascii="宋体" w:hAnsi="宋体"/>
                <w:b w:val="0"/>
                <w:bCs w:val="0"/>
                <w:color w:val="auto"/>
                <w:sz w:val="24"/>
                <w:szCs w:val="24"/>
                <w:highlight w:val="none"/>
                <w:lang w:val="en-US" w:eastAsia="zh-CN"/>
              </w:rPr>
              <w:t xml:space="preserve">精准落图（智慧管网）</w:t>
            </w:r>
            <w:r/>
          </w:p>
        </w:tc>
        <w:tc>
          <w:tcPr>
            <w:shd w:val="clear" w:color="auto" w:fill="auto"/>
            <w:tcBorders>
              <w:top w:val="single" w:color="auto" w:sz="4" w:space="0"/>
              <w:left w:val="single" w:color="000000" w:sz="4" w:space="0"/>
              <w:bottom w:val="single" w:color="000000" w:sz="4" w:space="0"/>
              <w:right w:val="single" w:color="000000" w:sz="4" w:space="0"/>
            </w:tcBorders>
            <w:tcW w:w="4213"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雨水管网一张图</w:t>
            </w:r>
            <w:r/>
          </w:p>
        </w:tc>
        <w:tc>
          <w:tcPr>
            <w:shd w:val="clear" w:color="auto" w:fill="auto"/>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数据加工</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vMerge w:val="continue"/>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13"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污水管网一张图</w:t>
            </w:r>
            <w:r/>
          </w:p>
        </w:tc>
        <w:tc>
          <w:tcPr>
            <w:shd w:val="clear" w:color="auto" w:fill="auto"/>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数据加工</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问题排口溯源</w:t>
            </w:r>
            <w:r/>
          </w:p>
        </w:tc>
        <w:tc>
          <w:tcPr>
            <w:shd w:val="clear" w:color="auto" w:fill="auto"/>
            <w:tcBorders>
              <w:top w:val="single" w:color="000000" w:sz="4" w:space="0"/>
              <w:left w:val="single" w:color="000000" w:sz="4" w:space="0"/>
              <w:bottom w:val="single" w:color="000000" w:sz="4" w:space="0"/>
              <w:right w:val="single" w:color="000000" w:sz="4" w:space="0"/>
            </w:tcBorders>
            <w:tcW w:w="4213"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针对晴天旱流排口开展QV检测</w:t>
            </w:r>
            <w:r/>
          </w:p>
        </w:tc>
        <w:tc>
          <w:tcPr>
            <w:shd w:val="clear" w:color="auto" w:fill="auto"/>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9.5km</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杨巷、新芳、螺丝墩遗址排查检测</w:t>
            </w:r>
            <w:r/>
          </w:p>
        </w:tc>
        <w:tc>
          <w:tcPr>
            <w:shd w:val="clear" w:color="auto" w:fill="auto"/>
            <w:tcBorders>
              <w:top w:val="single" w:color="000000" w:sz="4" w:space="0"/>
              <w:left w:val="single" w:color="000000" w:sz="4" w:space="0"/>
              <w:bottom w:val="single" w:color="000000" w:sz="4" w:space="0"/>
              <w:right w:val="single" w:color="000000" w:sz="4" w:space="0"/>
            </w:tcBorders>
            <w:tcW w:w="4213" w:type="dxa"/>
            <w:vAlign w:val="center"/>
            <w:textDirection w:val="lrTb"/>
            <w:noWrap w:val="false"/>
          </w:tcPr>
          <w:p>
            <w:pPr>
              <w:ind w:firstLine="0"/>
              <w:jc w:val="left"/>
              <w:keepLines w:val="0"/>
              <w:keepNext w:val="0"/>
              <w:pageBreakBefore w:val="0"/>
              <w:spacing w:before="0"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通过检测，对发现的管道缺陷进行判定，并编制“四位一体”检测报告。</w:t>
            </w:r>
            <w:r>
              <w:rPr>
                <w:rFonts w:hint="eastAsia" w:ascii="宋体" w:hAnsi="宋体" w:eastAsia="宋体" w:cs="Times New Roman"/>
                <w:b w:val="0"/>
                <w:bCs w:val="0"/>
                <w:color w:val="auto"/>
                <w:sz w:val="24"/>
                <w:szCs w:val="24"/>
                <w:highlight w:val="none"/>
                <w:lang w:val="en-US" w:eastAsia="zh-CN"/>
              </w:rPr>
              <w:br/>
            </w:r>
            <w:r>
              <w:rPr>
                <w:rFonts w:hint="eastAsia" w:ascii="宋体" w:hAnsi="宋体" w:eastAsia="宋体" w:cs="Times New Roman"/>
                <w:b w:val="0"/>
                <w:bCs w:val="0"/>
                <w:color w:val="auto"/>
                <w:sz w:val="24"/>
                <w:szCs w:val="24"/>
                <w:highlight w:val="none"/>
                <w:lang w:val="en-US" w:eastAsia="zh-CN"/>
              </w:rPr>
              <w:t xml:space="preserve">（不包含管网测绘、降排水、管道疏通、污泥清运）</w:t>
            </w:r>
            <w:r/>
          </w:p>
        </w:tc>
        <w:tc>
          <w:tcPr>
            <w:shd w:val="clear" w:color="auto" w:fill="auto"/>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15km</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ind w:firstLine="0"/>
              <w:jc w:val="center"/>
              <w:spacing w:before="0" w:line="24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杨巷、新芳老街整改方案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09" w:type="dxa"/>
            <w:vAlign w:val="center"/>
            <w:textDirection w:val="lrTb"/>
            <w:noWrap w:val="false"/>
          </w:tcPr>
          <w:p>
            <w:pPr>
              <w:ind w:firstLine="0"/>
              <w:jc w:val="left"/>
              <w:keepLines w:val="0"/>
              <w:keepNext w:val="0"/>
              <w:pageBreakBefore w:val="0"/>
              <w:spacing w:before="0"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针对杨巷、新芳老街现状排水系统出具工程整改方案、初步设计</w:t>
            </w:r>
            <w:r/>
          </w:p>
        </w:tc>
      </w:tr>
    </w:tbl>
    <w:p>
      <w:pPr>
        <w:ind w:firstLine="482"/>
        <w:keepLines w:val="0"/>
        <w:keepNext w:val="0"/>
        <w:pageBreakBefore w:val="0"/>
        <w:spacing w:line="520" w:lineRule="exact"/>
        <w:widowControl w:val="off"/>
        <w:rPr>
          <w:rFonts w:hint="eastAsia" w:ascii="宋体" w:hAnsi="宋体" w:eastAsia="宋体" w:cs="宋体"/>
          <w:b/>
          <w:bCs/>
          <w:color w:val="auto"/>
          <w:sz w:val="24"/>
          <w:szCs w:val="32"/>
        </w:rPr>
      </w:pPr>
      <w:r>
        <w:rPr>
          <w:rFonts w:hint="eastAsia" w:ascii="宋体" w:hAnsi="宋体" w:cs="宋体"/>
          <w:b/>
          <w:bCs/>
          <w:color w:val="auto"/>
          <w:sz w:val="24"/>
          <w:szCs w:val="32"/>
          <w:lang w:eastAsia="zh-CN"/>
        </w:rPr>
        <w:t xml:space="preserve">五</w:t>
      </w:r>
      <w:r>
        <w:rPr>
          <w:rFonts w:hint="eastAsia" w:ascii="宋体" w:hAnsi="宋体" w:eastAsia="宋体" w:cs="宋体"/>
          <w:b/>
          <w:bCs/>
          <w:color w:val="auto"/>
          <w:sz w:val="24"/>
          <w:szCs w:val="32"/>
        </w:rPr>
        <w:t xml:space="preserve">、质量要求</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1、管网测绘质量标准：应满足《宜兴市综合地下管线数据标准》、《宜兴市地下管线探测规程》相关要求。</w:t>
      </w:r>
      <w:r/>
    </w:p>
    <w:p>
      <w:pPr>
        <w:ind w:firstLine="480"/>
        <w:keepLines w:val="0"/>
        <w:keepNext w:val="0"/>
        <w:pageBreakBefore w:val="0"/>
        <w:spacing w:line="520" w:lineRule="exact"/>
        <w:widowControl w:val="off"/>
        <w:rPr>
          <w:rFonts w:hint="eastAsia" w:ascii="宋体" w:hAnsi="宋体" w:cs="宋体"/>
          <w:color w:val="auto"/>
          <w:sz w:val="24"/>
          <w:szCs w:val="32"/>
          <w:lang w:eastAsia="zh-CN"/>
        </w:rPr>
      </w:pPr>
      <w:r>
        <w:rPr>
          <w:rFonts w:hint="eastAsia" w:ascii="宋体" w:hAnsi="宋体" w:cs="宋体"/>
          <w:color w:val="auto"/>
          <w:sz w:val="24"/>
          <w:szCs w:val="32"/>
          <w:lang w:eastAsia="zh-CN"/>
        </w:rPr>
        <w:t xml:space="preserve">2、管网检测质量标准：管网检测不出现漏项，出具的检测报告满足规范要求，排查检测资料符合《城镇排水管道检测与评估技术规程CJJ181-2012》、《江苏省城镇排水管网排查评估技术导则》等相关规定要求。</w:t>
      </w:r>
      <w:r/>
    </w:p>
    <w:p>
      <w:pPr>
        <w:ind w:firstLine="480"/>
        <w:keepLines w:val="0"/>
        <w:keepNext w:val="0"/>
        <w:pageBreakBefore w:val="0"/>
        <w:spacing w:line="520" w:lineRule="exact"/>
        <w:widowControl w:val="off"/>
        <w:rPr>
          <w:rFonts w:hint="eastAsia" w:ascii="宋体" w:hAnsi="宋体" w:eastAsia="宋体" w:cs="宋体"/>
          <w:b/>
          <w:bCs/>
          <w:color w:val="auto"/>
          <w:sz w:val="24"/>
          <w:szCs w:val="32"/>
        </w:rPr>
      </w:pPr>
      <w:r>
        <w:rPr>
          <w:rFonts w:hint="eastAsia" w:ascii="宋体" w:hAnsi="宋体" w:cs="宋体"/>
          <w:color w:val="auto"/>
          <w:sz w:val="24"/>
          <w:szCs w:val="32"/>
          <w:lang w:eastAsia="zh-CN"/>
        </w:rPr>
        <w:t xml:space="preserve">3、旱流排口整改设计质量要求：满足并符合国家、地方及行业相关现行设计规范要求；符合相应阶段设计深度要求。</w:t>
      </w:r>
      <w:r/>
    </w:p>
    <w:p>
      <w:pPr>
        <w:ind w:firstLine="482"/>
        <w:keepLines w:val="0"/>
        <w:keepNext w:val="0"/>
        <w:pageBreakBefore w:val="0"/>
        <w:spacing w:line="520" w:lineRule="exact"/>
        <w:widowControl w:val="off"/>
        <w:rPr>
          <w:rFonts w:hint="eastAsia" w:ascii="宋体" w:hAnsi="宋体" w:eastAsia="宋体" w:cs="宋体"/>
          <w:b/>
          <w:bCs/>
          <w:color w:val="auto"/>
          <w:sz w:val="24"/>
          <w:szCs w:val="32"/>
        </w:rPr>
      </w:pPr>
      <w:r>
        <w:rPr>
          <w:rFonts w:hint="eastAsia" w:ascii="宋体" w:hAnsi="宋体" w:cs="宋体"/>
          <w:b/>
          <w:bCs/>
          <w:color w:val="auto"/>
          <w:sz w:val="24"/>
          <w:szCs w:val="32"/>
          <w:lang w:eastAsia="zh-CN"/>
        </w:rPr>
        <w:t xml:space="preserve">六</w:t>
      </w:r>
      <w:r>
        <w:rPr>
          <w:rFonts w:hint="eastAsia" w:ascii="宋体" w:hAnsi="宋体" w:eastAsia="宋体" w:cs="宋体"/>
          <w:b/>
          <w:bCs/>
          <w:color w:val="auto"/>
          <w:sz w:val="24"/>
          <w:szCs w:val="32"/>
        </w:rPr>
        <w:t xml:space="preserve">、排查范围</w:t>
      </w:r>
      <w:r/>
    </w:p>
    <w:p>
      <w:pPr>
        <w:jc w:val="center"/>
        <w:keepLines w:val="0"/>
        <w:keepNext w:val="0"/>
        <w:pageBreakBefore w:val="0"/>
        <w:spacing w:line="360" w:lineRule="auto"/>
        <w:widowControl w:val="off"/>
        <w:rPr>
          <w:rFonts w:hint="eastAsia" w:ascii="宋体" w:hAnsi="宋体" w:eastAsia="宋体" w:cs="宋体"/>
          <w:b/>
          <w:bCs/>
          <w:color w:val="auto"/>
          <w:sz w:val="24"/>
          <w:szCs w:val="32"/>
          <w:lang w:eastAsia="zh-CN"/>
        </w:rPr>
      </w:pPr>
      <w:r>
        <w:rPr>
          <w:rFonts w:hint="eastAsia" w:ascii="宋体" w:hAnsi="宋体" w:eastAsia="宋体" w:cs="宋体"/>
          <w:b/>
          <w:bCs/>
          <w:color w:val="auto"/>
          <w:sz w:val="24"/>
          <w:szCs w:val="32"/>
          <w:lang w:eastAsia="zh-CN"/>
        </w:rPr>
        <mc:AlternateContent>
          <mc:Choice Requires="wpg">
            <w:drawing>
              <wp:inline xmlns:wp="http://schemas.openxmlformats.org/drawingml/2006/wordprocessingDrawing" distT="0" distB="0" distL="0" distR="0">
                <wp:extent cx="4650740" cy="5128895"/>
                <wp:effectExtent l="0" t="0" r="16510" b="14604"/>
                <wp:docPr id="4"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1"/>
                        <pic:cNvPicPr>
                          <a:picLocks noChangeAspect="1"/>
                        </pic:cNvPicPr>
                        <pic:nvPr/>
                      </pic:nvPicPr>
                      <pic:blipFill>
                        <a:blip r:embed="rId14"/>
                        <a:stretch/>
                      </pic:blipFill>
                      <pic:spPr bwMode="auto">
                        <a:xfrm>
                          <a:off x="0" y="0"/>
                          <a:ext cx="4650740" cy="51288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6.2pt;height:403.8pt;mso-wrap-distance-left:0.0pt;mso-wrap-distance-top:0.0pt;mso-wrap-distance-right:0.0pt;mso-wrap-distance-bottom:0.0pt;" stroked="false">
                <v:path textboxrect="0,0,0,0"/>
                <v:imagedata r:id="rId14" o:title=""/>
              </v:shape>
            </w:pict>
          </mc:Fallback>
        </mc:AlternateContent>
      </w:r>
      <w:r/>
    </w:p>
    <w:p>
      <w:pPr>
        <w:jc w:val="center"/>
        <w:keepLines w:val="0"/>
        <w:keepNext w:val="0"/>
        <w:pageBreakBefore w:val="0"/>
        <w:spacing w:line="360" w:lineRule="auto"/>
        <w:widowControl w:val="off"/>
        <w:rPr>
          <w:rFonts w:hint="eastAsia" w:ascii="宋体" w:hAnsi="宋体" w:eastAsia="宋体" w:cs="宋体"/>
          <w:b/>
          <w:bCs/>
          <w:color w:val="auto"/>
          <w:sz w:val="24"/>
          <w:szCs w:val="32"/>
        </w:rPr>
      </w:pPr>
      <w:r>
        <w:rPr>
          <w:rFonts w:hint="eastAsia" w:ascii="宋体" w:hAnsi="宋体" w:eastAsia="宋体" w:cs="宋体"/>
          <w:b/>
          <w:bCs/>
          <w:color w:val="auto"/>
          <w:sz w:val="24"/>
          <w:szCs w:val="32"/>
        </w:rPr>
        <w:t xml:space="preserve">图1 杨巷镇排查范围</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、项目</w:t>
      </w:r>
      <w:r>
        <w:rPr>
          <w:rFonts w:hint="eastAsia" w:ascii="宋体" w:hAnsi="宋体" w:cs="宋体"/>
          <w:b/>
          <w:bCs/>
          <w:color w:val="auto"/>
          <w:sz w:val="24"/>
          <w:szCs w:val="24"/>
          <w:highlight w:val="none"/>
          <w:lang w:eastAsia="zh-CN"/>
        </w:rPr>
        <w:t xml:space="preserve">服务</w:t>
      </w:r>
      <w:r>
        <w:rPr>
          <w:rFonts w:hint="eastAsia" w:ascii="宋体" w:hAnsi="宋体" w:eastAsia="宋体" w:cs="宋体"/>
          <w:b/>
          <w:bCs/>
          <w:color w:val="auto"/>
          <w:sz w:val="24"/>
          <w:szCs w:val="24"/>
          <w:highlight w:val="none"/>
        </w:rPr>
        <w:t xml:space="preserve">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1、供应商应对本项目中有充分的认识和理解，了解采购人需求，提供排查方案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分析河道及排水现状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质量保证措施</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成交供应商应为本项目配备专门的服务团队：项目</w:t>
      </w:r>
      <w:r>
        <w:rPr>
          <w:rFonts w:hint="eastAsia" w:ascii="宋体" w:hAnsi="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1名，</w:t>
      </w:r>
      <w:r>
        <w:rPr>
          <w:rFonts w:hint="eastAsia" w:ascii="宋体" w:hAnsi="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其他团队服务人员，要求服务团队人员构成合理，技术背景良好，项目经验丰富，充分满足和适合项目的需要。</w:t>
      </w:r>
      <w:r/>
    </w:p>
    <w:p>
      <w:pPr>
        <w:ind w:firstLine="482"/>
        <w:keepLines w:val="0"/>
        <w:keepNext w:val="0"/>
        <w:pageBreakBefore w:val="0"/>
        <w:spacing w:line="360" w:lineRule="auto"/>
        <w:widowControl w:val="off"/>
        <w:rPr>
          <w:rFonts w:hint="eastAsia" w:ascii="宋体" w:hAnsi="宋体" w:eastAsia="宋体" w:cs="宋体"/>
          <w:b/>
          <w:bCs/>
          <w:color w:val="auto"/>
          <w:sz w:val="24"/>
          <w:szCs w:val="32"/>
        </w:rPr>
      </w:pPr>
      <w:r>
        <w:rPr>
          <w:rFonts w:hint="eastAsia" w:ascii="宋体" w:hAnsi="宋体" w:cs="宋体"/>
          <w:b/>
          <w:bCs/>
          <w:color w:val="auto"/>
          <w:sz w:val="24"/>
          <w:szCs w:val="32"/>
          <w:lang w:eastAsia="zh-CN"/>
        </w:rPr>
        <w:t xml:space="preserve">八</w:t>
      </w:r>
      <w:r>
        <w:rPr>
          <w:rFonts w:hint="eastAsia" w:ascii="宋体" w:hAnsi="宋体" w:eastAsia="宋体" w:cs="宋体"/>
          <w:b/>
          <w:bCs/>
          <w:color w:val="auto"/>
          <w:sz w:val="24"/>
          <w:szCs w:val="32"/>
        </w:rPr>
        <w:t xml:space="preserve">、商务要求</w:t>
      </w:r>
      <w:r/>
    </w:p>
    <w:p>
      <w:pPr>
        <w:ind w:firstLine="480"/>
        <w:keepLines w:val="0"/>
        <w:keepNext w:val="0"/>
        <w:pageBreakBefore w:val="0"/>
        <w:spacing w:line="360" w:lineRule="auto"/>
        <w:widowControl w:val="off"/>
        <w:rPr>
          <w:rFonts w:hint="eastAsia" w:ascii="宋体" w:hAnsi="宋体" w:eastAsia="宋体" w:cs="宋体"/>
          <w:color w:val="auto"/>
          <w:sz w:val="24"/>
          <w:szCs w:val="32"/>
        </w:rPr>
      </w:pPr>
      <w:r>
        <w:rPr>
          <w:rFonts w:hint="eastAsia" w:ascii="宋体" w:hAnsi="宋体" w:eastAsia="宋体" w:cs="宋体"/>
          <w:color w:val="auto"/>
          <w:sz w:val="24"/>
          <w:szCs w:val="32"/>
        </w:rPr>
        <w:t xml:space="preserve">1、服务期限：自合同签订之日起至2025年11月底。</w:t>
      </w:r>
      <w:r/>
    </w:p>
    <w:p>
      <w:pPr>
        <w:ind w:firstLine="480"/>
        <w:keepLines w:val="0"/>
        <w:keepNext w:val="0"/>
        <w:pageBreakBefore w:val="0"/>
        <w:spacing w:line="360" w:lineRule="auto"/>
        <w:widowControl w:val="off"/>
        <w:rPr>
          <w:rFonts w:hint="eastAsia" w:ascii="宋体" w:hAnsi="宋体" w:eastAsia="宋体" w:cs="宋体"/>
          <w:color w:val="auto"/>
          <w:sz w:val="24"/>
          <w:szCs w:val="32"/>
        </w:rPr>
      </w:pPr>
      <w:r>
        <w:rPr>
          <w:rFonts w:hint="eastAsia" w:ascii="宋体" w:hAnsi="宋体" w:eastAsia="宋体" w:cs="宋体"/>
          <w:color w:val="auto"/>
          <w:sz w:val="24"/>
          <w:szCs w:val="32"/>
        </w:rPr>
        <w:t xml:space="preserve">2、服务地点：</w:t>
      </w:r>
      <w:r>
        <w:rPr>
          <w:rFonts w:hint="eastAsia" w:ascii="宋体" w:hAnsi="宋体" w:cs="Times New Roman"/>
          <w:b w:val="0"/>
          <w:bCs w:val="0"/>
          <w:color w:val="auto"/>
          <w:sz w:val="24"/>
          <w:szCs w:val="24"/>
          <w:highlight w:val="none"/>
          <w:lang w:val="en-US" w:eastAsia="zh-CN"/>
        </w:rPr>
        <w:t xml:space="preserve">采购人指定地点</w:t>
      </w:r>
      <w:r>
        <w:rPr>
          <w:rFonts w:hint="eastAsia" w:ascii="宋体" w:hAnsi="宋体" w:eastAsia="宋体" w:cs="宋体"/>
          <w:color w:val="auto"/>
          <w:sz w:val="24"/>
          <w:szCs w:val="32"/>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32"/>
        </w:rPr>
      </w:pPr>
      <w:r>
        <w:rPr>
          <w:rFonts w:hint="eastAsia" w:ascii="宋体" w:hAnsi="宋体" w:eastAsia="宋体" w:cs="宋体"/>
          <w:color w:val="auto"/>
          <w:sz w:val="24"/>
          <w:szCs w:val="32"/>
        </w:rPr>
        <w:t xml:space="preserve">3、验收标准：采购人根据国家有关规定、磋商文件、响应文件以及合同约定的内容组织验收，具体验收办法详见《江苏省政府采购履约验收管理办法》。</w:t>
      </w:r>
      <w:r/>
    </w:p>
    <w:p>
      <w:pPr>
        <w:ind w:firstLine="480"/>
        <w:keepLines w:val="0"/>
        <w:keepNext w:val="0"/>
        <w:pageBreakBefore w:val="0"/>
        <w:spacing w:line="360" w:lineRule="auto"/>
        <w:widowControl w:val="off"/>
        <w:rPr>
          <w:rFonts w:hint="eastAsia" w:ascii="宋体" w:hAnsi="宋体" w:eastAsia="宋体" w:cs="宋体"/>
          <w:color w:val="auto"/>
          <w:sz w:val="24"/>
          <w:szCs w:val="32"/>
          <w:lang w:eastAsia="zh-CN"/>
        </w:rPr>
      </w:pPr>
      <w:r>
        <w:rPr>
          <w:rFonts w:hint="eastAsia" w:ascii="宋体" w:hAnsi="宋体" w:eastAsia="宋体" w:cs="宋体"/>
          <w:color w:val="auto"/>
          <w:sz w:val="24"/>
          <w:szCs w:val="32"/>
        </w:rPr>
        <w:t xml:space="preserve">4、付款步骤：</w:t>
      </w:r>
      <w:bookmarkStart w:id="28" w:name="OLE_LINK1"/>
      <w:r>
        <w:rPr>
          <w:rFonts w:hint="eastAsia" w:ascii="宋体" w:hAnsi="宋体" w:cs="宋体"/>
          <w:color w:val="auto"/>
          <w:sz w:val="24"/>
          <w:szCs w:val="32"/>
          <w:lang w:eastAsia="zh-CN"/>
        </w:rPr>
        <w:t xml:space="preserve">完成相关技术服务后并于2025年年底前支付成交价的60%款项，审计结束后按实际结算支付剩余的40%尾款。</w:t>
      </w:r>
      <w:bookmarkEnd w:id="28"/>
      <w:r/>
      <w:r/>
    </w:p>
    <w:p>
      <w:pPr>
        <w:ind w:firstLine="482"/>
        <w:keepLines w:val="0"/>
        <w:keepNext w:val="0"/>
        <w:pageBreakBefore w:val="0"/>
        <w:spacing w:line="360" w:lineRule="auto"/>
        <w:widowControl w:val="off"/>
        <w:rPr>
          <w:rFonts w:hint="eastAsia" w:ascii="宋体" w:hAnsi="宋体" w:eastAsia="宋体" w:cs="宋体"/>
          <w:b/>
          <w:bCs/>
          <w:color w:val="auto"/>
          <w:sz w:val="24"/>
          <w:szCs w:val="32"/>
        </w:rPr>
      </w:pPr>
      <w:r>
        <w:rPr>
          <w:rFonts w:hint="eastAsia" w:ascii="宋体" w:hAnsi="宋体" w:cs="宋体"/>
          <w:b/>
          <w:bCs/>
          <w:color w:val="auto"/>
          <w:sz w:val="24"/>
          <w:szCs w:val="32"/>
          <w:lang w:eastAsia="zh-CN"/>
        </w:rPr>
        <w:t xml:space="preserve">九</w:t>
      </w:r>
      <w:r>
        <w:rPr>
          <w:rFonts w:hint="eastAsia" w:ascii="宋体" w:hAnsi="宋体" w:eastAsia="宋体" w:cs="宋体"/>
          <w:b/>
          <w:bCs/>
          <w:color w:val="auto"/>
          <w:sz w:val="24"/>
          <w:szCs w:val="32"/>
        </w:rPr>
        <w:t xml:space="preserve">、实质性要求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32"/>
        </w:rPr>
      </w:pPr>
      <w:r>
        <w:rPr>
          <w:rFonts w:hint="eastAsia" w:ascii="宋体" w:hAnsi="宋体" w:eastAsia="宋体" w:cs="宋体"/>
          <w:color w:val="auto"/>
          <w:sz w:val="24"/>
          <w:szCs w:val="32"/>
        </w:rPr>
        <w:t xml:space="preserve">本章内容均为实质性要求（基准要求），采购人不接受低于该基准要求（负偏离）的报价，供应商应对此基准要求作出实质性响应。供应商可高于此基准要求进行报价，偏离情况在项目技术要求偏离表中列明。</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lang w:eastAsia="zh-CN"/>
        </w:rPr>
      </w:r>
      <w:r/>
    </w:p>
    <w:p>
      <w:pPr>
        <w:pStyle w:val="949"/>
        <w:ind w:left="0" w:firstLine="0"/>
        <w:rPr>
          <w:rFonts w:hint="eastAsia"/>
          <w:b/>
          <w:bCs/>
          <w:color w:val="auto"/>
          <w:sz w:val="28"/>
          <w:szCs w:val="28"/>
          <w:lang w:val="en-US" w:eastAsia="zh-CN"/>
        </w:rPr>
      </w:pPr>
      <w:r>
        <w:rPr>
          <w:rFonts w:hint="eastAsia"/>
          <w:b/>
          <w:bCs/>
          <w:color w:val="auto"/>
          <w:sz w:val="28"/>
          <w:szCs w:val="28"/>
          <w:lang w:val="en-US" w:eastAsia="zh-CN"/>
        </w:rPr>
        <w:t xml:space="preserve">附件：</w:t>
      </w:r>
      <w:r>
        <w:rPr>
          <w:rFonts w:hint="eastAsia" w:ascii="宋体" w:hAnsi="宋体" w:cs="宋体"/>
          <w:b/>
          <w:bCs/>
          <w:color w:val="auto"/>
          <w:sz w:val="28"/>
          <w:szCs w:val="36"/>
          <w:lang w:eastAsia="zh-CN"/>
        </w:rPr>
        <w:t xml:space="preserve">农村污水、市政污水排水情况调查表</w:t>
      </w:r>
      <w:r/>
    </w:p>
    <w:tbl>
      <w:tblPr>
        <w:tblStyle w:val="948"/>
        <w:tblW w:w="501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2056"/>
        <w:gridCol w:w="7635"/>
      </w:tblGrid>
      <w:tr>
        <w:trPr>
          <w:jc w:val="center"/>
          <w:trHeight w:val="787"/>
        </w:trPr>
        <w:tc>
          <w:tcPr>
            <w:gridSpan w:val="2"/>
            <w:tcW w:w="500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表1：XX镇各自然村排水户排水情况调查表</w:t>
            </w:r>
            <w:r/>
          </w:p>
        </w:tc>
      </w:tr>
      <w:tr>
        <w:trPr>
          <w:jc w:val="center"/>
          <w:trHeight w:val="964"/>
        </w:trPr>
        <w:tc>
          <w:tcPr>
            <w:shd w:val="clear" w:color="auto" w:fill="auto"/>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w:t>
            </w:r>
            <w:r/>
          </w:p>
        </w:tc>
        <w:tc>
          <w:tcPr>
            <w:shd w:val="clear" w:color="auto" w:fill="auto"/>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shd w:val="clear" w:color="auto" w:fill="auto"/>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门牌号</w:t>
            </w:r>
            <w:r/>
          </w:p>
        </w:tc>
        <w:tc>
          <w:tcPr>
            <w:shd w:val="clear" w:color="auto" w:fill="auto"/>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平时家里人数</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（用水）</w:t>
            </w:r>
            <w:r/>
          </w:p>
        </w:tc>
        <w:tc>
          <w:tcPr>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化粪池</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是否使用</w:t>
            </w:r>
            <w:r/>
          </w:p>
        </w:tc>
        <w:tc>
          <w:tcPr>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        □否</w:t>
            </w:r>
            <w:r/>
          </w:p>
        </w:tc>
      </w:tr>
      <w:tr>
        <w:trPr>
          <w:jc w:val="center"/>
          <w:trHeight w:val="964"/>
        </w:trPr>
        <w:tc>
          <w:tcPr>
            <w:shd w:val="clear" w:color="auto" w:fill="auto"/>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化粪池是否接管</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（如有请填写）</w:t>
            </w:r>
            <w:r/>
          </w:p>
        </w:tc>
        <w:tc>
          <w:tcPr>
            <w:shd w:val="clear" w:color="auto" w:fill="auto"/>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□已接管   □未接管</w:t>
            </w:r>
            <w:r/>
          </w:p>
        </w:tc>
      </w:tr>
      <w:tr>
        <w:trPr>
          <w:jc w:val="center"/>
          <w:trHeight w:val="964"/>
        </w:trPr>
        <w:tc>
          <w:tcPr>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卫生间污水</w:t>
            </w:r>
            <w:r/>
          </w:p>
        </w:tc>
        <w:tc>
          <w:tcPr>
            <w:tcBorders>
              <w:bottom w:val="single" w:color="000000" w:sz="4" w:space="0"/>
            </w:tcBorders>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□已接管      □未接管</w:t>
            </w:r>
            <w:r/>
          </w:p>
        </w:tc>
      </w:tr>
      <w:tr>
        <w:trPr>
          <w:jc w:val="center"/>
          <w:trHeight w:val="964"/>
        </w:trPr>
        <w:tc>
          <w:tcPr>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厨房间污水</w:t>
            </w:r>
            <w:r/>
          </w:p>
        </w:tc>
        <w:tc>
          <w:tcPr>
            <w:tcBorders>
              <w:bottom w:val="single" w:color="000000" w:sz="4" w:space="0"/>
            </w:tcBorders>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□已接管      □未接管</w:t>
            </w:r>
            <w:r/>
          </w:p>
        </w:tc>
      </w:tr>
      <w:tr>
        <w:trPr>
          <w:jc w:val="center"/>
          <w:trHeight w:val="964"/>
        </w:trPr>
        <w:tc>
          <w:tcPr>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有无散排</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生活污水</w:t>
            </w:r>
            <w:r/>
          </w:p>
        </w:tc>
        <w:tc>
          <w:tcPr>
            <w:tcBorders>
              <w:bottom w:val="single" w:color="000000" w:sz="4" w:space="0"/>
            </w:tcBorders>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□卫生间污水    □厨房间污水    □洗涤水    □洗浴水</w:t>
            </w:r>
            <w:r/>
          </w:p>
        </w:tc>
      </w:tr>
      <w:tr>
        <w:trPr>
          <w:jc w:val="center"/>
          <w:trHeight w:val="964"/>
        </w:trPr>
        <w:tc>
          <w:tcPr>
            <w:shd w:val="clear" w:color="auto" w:fill="auto"/>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有无沿河</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污水直排口</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（含小白管）</w:t>
            </w:r>
            <w:r/>
          </w:p>
        </w:tc>
        <w:tc>
          <w:tcPr>
            <w:shd w:val="clear" w:color="auto" w:fill="auto"/>
            <w:tcW w:w="3938" w:type="pct"/>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      □有，数量：     位置：          </w:t>
            </w:r>
            <w:r/>
          </w:p>
        </w:tc>
      </w:tr>
      <w:tr>
        <w:trPr>
          <w:jc w:val="center"/>
          <w:trHeight w:val="964"/>
        </w:trPr>
        <w:tc>
          <w:tcPr>
            <w:shd w:val="clear" w:color="auto" w:fill="auto"/>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雨水排放情况</w:t>
            </w:r>
            <w:r/>
          </w:p>
        </w:tc>
        <w:tc>
          <w:tcPr>
            <w:shd w:val="clear" w:color="auto" w:fill="auto"/>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□雨水散排     □接入雨水系统     □接入污水系统</w:t>
            </w:r>
            <w:r/>
          </w:p>
        </w:tc>
      </w:tr>
      <w:tr>
        <w:trPr>
          <w:jc w:val="center"/>
          <w:trHeight w:val="964"/>
        </w:trPr>
        <w:tc>
          <w:tcPr>
            <w:shd w:val="clear" w:color="auto" w:fill="auto"/>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运维主体</w:t>
            </w:r>
            <w:r/>
          </w:p>
        </w:tc>
        <w:tc>
          <w:tcPr>
            <w:shd w:val="clear" w:color="auto" w:fill="auto"/>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□北控水务     □公用环保     □属地负责</w:t>
            </w:r>
            <w:r/>
          </w:p>
        </w:tc>
      </w:tr>
      <w:tr>
        <w:trPr>
          <w:jc w:val="center"/>
          <w:trHeight w:val="964"/>
        </w:trPr>
        <w:tc>
          <w:tcPr>
            <w:shd w:val="clear" w:color="auto" w:fill="auto"/>
            <w:tcW w:w="1061"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其他情况</w:t>
            </w:r>
            <w:r/>
          </w:p>
        </w:tc>
        <w:tc>
          <w:tcPr>
            <w:shd w:val="clear" w:color="auto" w:fill="auto"/>
            <w:tcW w:w="3938"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pStyle w:val="963"/>
        <w:ind w:left="6000" w:hanging="6000"/>
        <w:jc w:val="left"/>
        <w:spacing w:before="156"/>
        <w:rPr>
          <w:rFonts w:cs="Times New Roman"/>
          <w:color w:val="auto"/>
          <w:sz w:val="24"/>
          <w:szCs w:val="28"/>
        </w:rPr>
      </w:pPr>
      <w:r>
        <w:rPr>
          <w:rFonts w:hint="eastAsia" w:cs="Times New Roman"/>
          <w:b w:val="0"/>
          <w:bCs/>
          <w:color w:val="auto"/>
          <w:sz w:val="24"/>
          <w:szCs w:val="28"/>
        </w:rPr>
        <w:t xml:space="preserve">备注：本表每一户填写一张                        </w:t>
      </w:r>
      <w:r>
        <w:rPr>
          <w:rFonts w:hint="eastAsia" w:cs="Times New Roman"/>
          <w:b w:val="0"/>
          <w:bCs/>
          <w:color w:val="auto"/>
          <w:sz w:val="24"/>
          <w:szCs w:val="28"/>
          <w:lang w:val="en-US" w:eastAsia="zh-CN"/>
        </w:rPr>
        <w:t xml:space="preserve"> </w:t>
      </w:r>
      <w:r>
        <w:rPr>
          <w:rFonts w:hint="eastAsia" w:cs="Times New Roman"/>
          <w:b w:val="0"/>
          <w:bCs/>
          <w:color w:val="auto"/>
          <w:sz w:val="24"/>
          <w:szCs w:val="28"/>
        </w:rPr>
        <w:t xml:space="preserve"> 排查人员：                                                 排查日期：</w:t>
      </w:r>
      <w:r/>
    </w:p>
    <w:tbl>
      <w:tblPr>
        <w:tblStyle w:val="948"/>
        <w:tblpPr w:horzAnchor="page" w:tblpXSpec="center" w:vertAnchor="text" w:tblpY="60" w:leftFromText="180" w:topFromText="0" w:rightFromText="180" w:bottomFromText="0"/>
        <w:tblW w:w="499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2081"/>
        <w:gridCol w:w="3720"/>
        <w:gridCol w:w="3842"/>
      </w:tblGrid>
      <w:tr>
        <w:trPr>
          <w:jc w:val="center"/>
          <w:trHeight w:val="794"/>
        </w:trPr>
        <w:tc>
          <w:tcPr>
            <w:gridSpan w:val="3"/>
            <w:shd w:val="clear" w:color="auto" w:fill="auto"/>
            <w:tcW w:w="500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表2：XX镇各自然村污水检查井调查表</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污水井位置</w:t>
            </w:r>
            <w:r/>
          </w:p>
        </w:tc>
        <w:tc>
          <w:tcPr>
            <w:shd w:val="clear" w:color="auto" w:fill="auto"/>
            <w:tcW w:w="1929" w:type="pct"/>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（可用门牌+房前屋后表述）</w:t>
            </w:r>
            <w:r/>
          </w:p>
        </w:tc>
        <w:tc>
          <w:tcPr>
            <w:shd w:val="clear" w:color="auto" w:fill="auto"/>
            <w:tcW w:w="1991" w:type="pct"/>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（可对井盖编号或其他方式表述）</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所在管网</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□自然村支管（每家农户出户井连成的支管网）</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□自然村主管（汇集各条支管通往泵坑的主管网）</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所处场地</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□村道上      □其他水泥场地      □旱地上      □农田内</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井盖材质</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□塑料      □水泥     □铸铁</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井盖情况</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□正常      □缺失      □破损      □被掩埋</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井壁情况</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□无破损    □有破损    □无法判断（井内水位较高/井盖无法开启）</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有无马鞍接头</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        □无</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井壁与管道</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连接情况</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□接口紧密连接    □接口处有缝隙    □接口处已脱落</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水流情况</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□没有水     □有水流，水量小     □有水流，水量大</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排查天气：□晴    □雨      排查时间：    时    分</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污水井水质初判</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□初判水质较浑浊      □初判水质较清澈</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近两年污水井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是否出现漫溢</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□有漫溢              □无漫溢</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运维主体</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□北控水务     □公用环保     □属地负责</w:t>
            </w:r>
            <w:r/>
          </w:p>
        </w:tc>
      </w:tr>
      <w:tr>
        <w:trPr>
          <w:jc w:val="center"/>
          <w:trHeight w:val="794"/>
        </w:trPr>
        <w:tc>
          <w:tcPr>
            <w:shd w:val="clear" w:color="auto" w:fill="auto"/>
            <w:tcW w:w="1079"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其他情况</w:t>
            </w:r>
            <w:r/>
          </w:p>
        </w:tc>
        <w:tc>
          <w:tcPr>
            <w:gridSpan w:val="2"/>
            <w:shd w:val="clear" w:color="auto" w:fill="auto"/>
            <w:tcW w:w="3920" w:type="pct"/>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pStyle w:val="963"/>
        <w:jc w:val="left"/>
        <w:spacing w:before="156"/>
        <w:rPr>
          <w:rFonts w:cs="Times New Roman"/>
          <w:b w:val="0"/>
          <w:bCs/>
          <w:color w:val="auto"/>
          <w:sz w:val="24"/>
          <w:szCs w:val="28"/>
        </w:rPr>
      </w:pPr>
      <w:r>
        <w:rPr>
          <w:rFonts w:hint="eastAsia" w:cs="Times New Roman"/>
          <w:b w:val="0"/>
          <w:bCs/>
          <w:color w:val="auto"/>
          <w:sz w:val="24"/>
          <w:szCs w:val="28"/>
        </w:rPr>
        <w:t xml:space="preserve">备注：本表一个检查井填写一张                     排查人员：</w:t>
      </w:r>
      <w:r/>
    </w:p>
    <w:p>
      <w:pPr>
        <w:pStyle w:val="963"/>
        <w:jc w:val="left"/>
        <w:spacing w:before="156"/>
        <w:rPr>
          <w:rFonts w:hint="eastAsia" w:cs="Times New Roman"/>
          <w:b w:val="0"/>
          <w:bCs/>
          <w:color w:val="auto"/>
          <w:sz w:val="24"/>
          <w:szCs w:val="28"/>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cs="Times New Roman"/>
          <w:b w:val="0"/>
          <w:bCs/>
          <w:color w:val="auto"/>
          <w:sz w:val="24"/>
          <w:szCs w:val="28"/>
        </w:rPr>
        <w:t xml:space="preserve">                                                 排查日期：</w:t>
      </w:r>
      <w:r/>
    </w:p>
    <w:tbl>
      <w:tblPr>
        <w:tblStyle w:val="948"/>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2054"/>
        <w:gridCol w:w="7618"/>
      </w:tblGrid>
      <w:tr>
        <w:trPr>
          <w:jc w:val="center"/>
          <w:trHeight w:val="787"/>
        </w:trPr>
        <w:tc>
          <w:tcPr>
            <w:gridSpan w:val="2"/>
            <w:tcW w:w="965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表3：XX镇各自然村管网基本情况</w:t>
            </w:r>
            <w:r/>
          </w:p>
        </w:tc>
      </w:tr>
      <w:tr>
        <w:trPr>
          <w:jc w:val="center"/>
          <w:trHeight w:val="964"/>
        </w:trPr>
        <w:tc>
          <w:tcPr>
            <w:shd w:val="clear" w:color="auto" w:fill="auto"/>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行政村</w:t>
            </w:r>
            <w:r/>
          </w:p>
        </w:tc>
        <w:tc>
          <w:tcPr>
            <w:shd w:val="clear" w:color="auto" w:fill="auto"/>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shd w:val="clear" w:color="auto" w:fill="auto"/>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自然村</w:t>
            </w:r>
            <w:r/>
          </w:p>
        </w:tc>
        <w:tc>
          <w:tcPr>
            <w:shd w:val="clear" w:color="auto" w:fill="auto"/>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污水管网</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建设年份</w:t>
            </w:r>
            <w:r/>
          </w:p>
        </w:tc>
        <w:tc>
          <w:tcPr>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tcW w:w="2050"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常驻人口</w:t>
            </w:r>
            <w:r/>
          </w:p>
        </w:tc>
        <w:tc>
          <w:tcPr>
            <w:tcW w:w="7602" w:type="dxa"/>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（表1用水人数汇总）</w:t>
            </w:r>
            <w:r/>
          </w:p>
        </w:tc>
      </w:tr>
      <w:tr>
        <w:trPr>
          <w:jc w:val="center"/>
          <w:trHeight w:val="964"/>
        </w:trPr>
        <w:tc>
          <w:tcPr>
            <w:shd w:val="clear" w:color="auto" w:fill="auto"/>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污水井数量</w:t>
            </w:r>
            <w:r/>
          </w:p>
        </w:tc>
        <w:tc>
          <w:tcPr>
            <w:shd w:val="clear" w:color="auto" w:fill="auto"/>
            <w:tcW w:w="7602" w:type="dxa"/>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（表2检查井数量汇总）</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泵坑情况</w:t>
            </w:r>
            <w:r/>
          </w:p>
        </w:tc>
        <w:tc>
          <w:tcPr>
            <w:tcBorders>
              <w:bottom w:val="single" w:color="000000" w:sz="4" w:space="0"/>
            </w:tcBorders>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□有杂物      □无杂物      □有异味      □无异味</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如有多个泵坑，请标注问题泵坑位置：</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是否有</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过河污水管网</w:t>
            </w:r>
            <w:r/>
          </w:p>
        </w:tc>
        <w:tc>
          <w:tcPr>
            <w:tcBorders>
              <w:bottom w:val="single" w:color="000000" w:sz="4" w:space="0"/>
            </w:tcBorders>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□无过河管          □有过河管，约：    米</w:t>
            </w:r>
            <w:r/>
          </w:p>
        </w:tc>
      </w:tr>
      <w:tr>
        <w:trPr>
          <w:jc w:val="center"/>
          <w:trHeight w:val="964"/>
        </w:trPr>
        <w:tc>
          <w:tcPr>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是否有</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过农田污水管网</w:t>
            </w:r>
            <w:r/>
          </w:p>
        </w:tc>
        <w:tc>
          <w:tcPr>
            <w:tcBorders>
              <w:bottom w:val="single" w:color="000000" w:sz="4" w:space="0"/>
            </w:tcBorders>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□无过田管          □有过田管，约：    米</w:t>
            </w:r>
            <w:r/>
          </w:p>
        </w:tc>
      </w:tr>
      <w:tr>
        <w:trPr>
          <w:jc w:val="center"/>
          <w:trHeight w:val="964"/>
        </w:trPr>
        <w:tc>
          <w:tcPr>
            <w:shd w:val="clear" w:color="auto" w:fill="auto"/>
            <w:tcW w:w="2050"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是否有公共低洼场地（道路）雨水接入污水管网（井）</w:t>
            </w:r>
            <w:r/>
          </w:p>
        </w:tc>
        <w:tc>
          <w:tcPr>
            <w:shd w:val="clear" w:color="auto" w:fill="auto"/>
            <w:tcW w:w="7602"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          □有</w:t>
            </w:r>
            <w:r/>
          </w:p>
        </w:tc>
      </w:tr>
      <w:tr>
        <w:trPr>
          <w:jc w:val="center"/>
          <w:trHeight w:val="964"/>
        </w:trPr>
        <w:tc>
          <w:tcPr>
            <w:shd w:val="clear" w:color="auto" w:fill="auto"/>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如有上述现象，填写有几处，并简要描述位置</w:t>
            </w:r>
            <w:r/>
          </w:p>
        </w:tc>
        <w:tc>
          <w:tcPr>
            <w:shd w:val="clear" w:color="auto" w:fill="auto"/>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shd w:val="clear" w:color="auto" w:fill="auto"/>
            <w:tcW w:w="2050"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其他情况</w:t>
            </w:r>
            <w:r/>
          </w:p>
        </w:tc>
        <w:tc>
          <w:tcPr>
            <w:shd w:val="clear" w:color="auto" w:fill="auto"/>
            <w:tcW w:w="760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pStyle w:val="963"/>
        <w:jc w:val="left"/>
        <w:spacing w:before="156"/>
        <w:rPr>
          <w:rFonts w:cs="Times New Roman"/>
          <w:b w:val="0"/>
          <w:bCs/>
          <w:color w:val="auto"/>
          <w:sz w:val="24"/>
          <w:szCs w:val="28"/>
        </w:rPr>
      </w:pPr>
      <w:r>
        <w:rPr>
          <w:rFonts w:hint="eastAsia" w:cs="Times New Roman"/>
          <w:b w:val="0"/>
          <w:bCs/>
          <w:color w:val="auto"/>
          <w:sz w:val="24"/>
          <w:szCs w:val="28"/>
        </w:rPr>
        <w:t xml:space="preserve">备注：本表一个自然村填写一张                     排查人员：</w:t>
      </w:r>
      <w:r/>
    </w:p>
    <w:p>
      <w:pPr>
        <w:pStyle w:val="963"/>
        <w:jc w:val="left"/>
        <w:spacing w:before="156"/>
        <w:rPr>
          <w:rFonts w:cs="Times New Roman"/>
          <w:b w:val="0"/>
          <w:bCs/>
          <w:color w:val="auto"/>
          <w:sz w:val="24"/>
          <w:szCs w:val="28"/>
        </w:rPr>
      </w:pPr>
      <w:r>
        <w:rPr>
          <w:rFonts w:hint="eastAsia" w:cs="Times New Roman"/>
          <w:b w:val="0"/>
          <w:bCs/>
          <w:color w:val="auto"/>
          <w:sz w:val="24"/>
          <w:szCs w:val="28"/>
        </w:rPr>
        <w:t xml:space="preserve">                                                 排查日期：</w:t>
      </w:r>
      <w:r/>
    </w:p>
    <w:p>
      <w:pPr>
        <w:pStyle w:val="963"/>
        <w:jc w:val="left"/>
        <w:spacing w:before="156"/>
        <w:rPr>
          <w:rFonts w:hint="eastAsia" w:cs="Times New Roman"/>
          <w:b w:val="0"/>
          <w:bCs/>
          <w:color w:val="auto"/>
          <w:sz w:val="24"/>
          <w:szCs w:val="28"/>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cs="Times New Roman"/>
          <w:b w:val="0"/>
          <w:bCs/>
          <w:color w:val="auto"/>
          <w:sz w:val="24"/>
          <w:szCs w:val="28"/>
        </w:rPr>
      </w:r>
      <w:r/>
    </w:p>
    <w:tbl>
      <w:tblPr>
        <w:tblStyle w:val="948"/>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789"/>
        <w:gridCol w:w="7883"/>
      </w:tblGrid>
      <w:tr>
        <w:trPr>
          <w:jc w:val="center"/>
          <w:trHeight w:val="787"/>
        </w:trPr>
        <w:tc>
          <w:tcPr>
            <w:gridSpan w:val="2"/>
            <w:tcW w:w="965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表4：XX镇/街市政污水井调查表</w:t>
            </w:r>
            <w:r/>
          </w:p>
        </w:tc>
      </w:tr>
      <w:tr>
        <w:trPr>
          <w:jc w:val="center"/>
          <w:trHeight w:val="964"/>
        </w:trPr>
        <w:tc>
          <w:tcPr>
            <w:shd w:val="clear" w:color="auto" w:fill="auto"/>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道路名称</w:t>
            </w:r>
            <w:r/>
          </w:p>
        </w:tc>
        <w:tc>
          <w:tcPr>
            <w:shd w:val="clear" w:color="auto" w:fill="auto"/>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shd w:val="clear" w:color="auto" w:fill="auto"/>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污水井位置</w:t>
            </w:r>
            <w:r/>
          </w:p>
        </w:tc>
        <w:tc>
          <w:tcPr>
            <w:shd w:val="clear" w:color="auto" w:fill="auto"/>
            <w:tcW w:w="7883" w:type="dxa"/>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（可用门牌+附近标志性构筑物距离表述）</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井盖材质</w:t>
            </w:r>
            <w:r/>
          </w:p>
        </w:tc>
        <w:tc>
          <w:tcPr>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□塑料      □水泥     □铸铁</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井盖情况</w:t>
            </w:r>
            <w:r/>
          </w:p>
        </w:tc>
        <w:tc>
          <w:tcPr>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□正常      □缺失      □破损      □被掩埋    □井盖错盖</w:t>
            </w:r>
            <w:r/>
          </w:p>
        </w:tc>
      </w:tr>
      <w:tr>
        <w:trPr>
          <w:jc w:val="center"/>
          <w:trHeight w:val="964"/>
        </w:trPr>
        <w:tc>
          <w:tcPr>
            <w:shd w:val="clear" w:color="auto" w:fill="auto"/>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井壁属性</w:t>
            </w:r>
            <w:r/>
          </w:p>
        </w:tc>
        <w:tc>
          <w:tcPr>
            <w:shd w:val="clear" w:color="auto" w:fill="auto"/>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□砖砌+水泥抹面  □塑料成品  □混凝土成品</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□无法判断（井内水位较高/井盖无法开启）</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井壁缺陷情况</w:t>
            </w:r>
            <w:r/>
          </w:p>
        </w:tc>
        <w:tc>
          <w:tcPr>
            <w:tcBorders>
              <w:bottom w:val="single" w:color="000000" w:sz="4" w:space="0"/>
            </w:tcBorders>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□无破损    □有破损    □无法判断（井内水位较高/井盖无法开启）</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井壁与管道</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连接情况</w:t>
            </w:r>
            <w:r/>
          </w:p>
        </w:tc>
        <w:tc>
          <w:tcPr>
            <w:tcBorders>
              <w:bottom w:val="single" w:color="000000" w:sz="4" w:space="0"/>
            </w:tcBorders>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□接口正常    □接口异常    □无法判断（井内水位较高/井盖无法开启）</w:t>
            </w:r>
            <w:r/>
          </w:p>
        </w:tc>
      </w:tr>
      <w:tr>
        <w:trPr>
          <w:jc w:val="center"/>
          <w:trHeight w:val="964"/>
        </w:trPr>
        <w:tc>
          <w:tcPr>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污水井内</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雨污接管情况</w:t>
            </w:r>
            <w:r/>
          </w:p>
        </w:tc>
        <w:tc>
          <w:tcPr>
            <w:tcBorders>
              <w:bottom w:val="single" w:color="000000" w:sz="4" w:space="0"/>
            </w:tcBorders>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□无雨水管接入        □有雨水管接入</w:t>
            </w:r>
            <w:r/>
          </w:p>
        </w:tc>
      </w:tr>
      <w:tr>
        <w:trPr>
          <w:jc w:val="center"/>
          <w:trHeight w:val="964"/>
        </w:trPr>
        <w:tc>
          <w:tcPr>
            <w:shd w:val="clear" w:color="auto" w:fill="auto"/>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近两年污水井</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是否出现漫溢</w:t>
            </w:r>
            <w:r/>
          </w:p>
        </w:tc>
        <w:tc>
          <w:tcPr>
            <w:shd w:val="clear" w:color="auto" w:fill="auto"/>
            <w:tcW w:w="7883"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□有漫溢            □无漫溢</w:t>
            </w:r>
            <w:r/>
          </w:p>
        </w:tc>
      </w:tr>
      <w:tr>
        <w:trPr>
          <w:jc w:val="center"/>
          <w:trHeight w:val="964"/>
        </w:trPr>
        <w:tc>
          <w:tcPr>
            <w:shd w:val="clear" w:color="auto" w:fill="auto"/>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运维主体</w:t>
            </w:r>
            <w:r/>
          </w:p>
        </w:tc>
        <w:tc>
          <w:tcPr>
            <w:shd w:val="clear" w:color="auto" w:fill="auto"/>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□北控水务     □公用环保     □属地负责</w:t>
            </w:r>
            <w:r/>
          </w:p>
        </w:tc>
      </w:tr>
      <w:tr>
        <w:trPr>
          <w:jc w:val="center"/>
          <w:trHeight w:val="964"/>
        </w:trPr>
        <w:tc>
          <w:tcPr>
            <w:shd w:val="clear" w:color="auto" w:fill="auto"/>
            <w:tcW w:w="1789"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其他情况</w:t>
            </w:r>
            <w:r/>
          </w:p>
        </w:tc>
        <w:tc>
          <w:tcPr>
            <w:shd w:val="clear" w:color="auto" w:fill="auto"/>
            <w:tcW w:w="7883"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pStyle w:val="963"/>
        <w:jc w:val="left"/>
        <w:spacing w:before="156"/>
        <w:rPr>
          <w:rFonts w:cs="Times New Roman"/>
          <w:b w:val="0"/>
          <w:bCs/>
          <w:color w:val="auto"/>
          <w:sz w:val="24"/>
          <w:szCs w:val="28"/>
        </w:rPr>
      </w:pPr>
      <w:r>
        <w:rPr>
          <w:rFonts w:hint="eastAsia" w:cs="Times New Roman"/>
          <w:b w:val="0"/>
          <w:bCs/>
          <w:color w:val="auto"/>
          <w:sz w:val="24"/>
          <w:szCs w:val="28"/>
        </w:rPr>
        <w:t xml:space="preserve">备注：本表一个污水井填写一张                     排查人员：</w:t>
      </w:r>
      <w:r/>
    </w:p>
    <w:p>
      <w:pPr>
        <w:pStyle w:val="963"/>
        <w:jc w:val="left"/>
        <w:spacing w:before="156"/>
        <w:rPr>
          <w:rFonts w:cs="Times New Roman"/>
          <w:color w:val="auto"/>
          <w:sz w:val="24"/>
          <w:szCs w:val="28"/>
        </w:rPr>
      </w:pPr>
      <w:r>
        <w:rPr>
          <w:rFonts w:hint="eastAsia" w:cs="Times New Roman"/>
          <w:b w:val="0"/>
          <w:bCs/>
          <w:color w:val="auto"/>
          <w:sz w:val="24"/>
          <w:szCs w:val="28"/>
        </w:rPr>
        <w:t xml:space="preserve">                                                 排查日期</w:t>
      </w:r>
      <w:r/>
    </w:p>
    <w:p>
      <w:pPr>
        <w:pStyle w:val="963"/>
        <w:jc w:val="left"/>
        <w:spacing w:before="156"/>
        <w:rPr>
          <w:rFonts w:hint="eastAsia" w:cs="Times New Roman"/>
          <w:b w:val="0"/>
          <w:bCs/>
          <w:color w:val="auto"/>
          <w:sz w:val="24"/>
          <w:szCs w:val="28"/>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cs="Times New Roman"/>
          <w:b w:val="0"/>
          <w:bCs/>
          <w:color w:val="auto"/>
          <w:sz w:val="24"/>
          <w:szCs w:val="28"/>
        </w:rPr>
      </w:r>
      <w:r/>
    </w:p>
    <w:tbl>
      <w:tblPr>
        <w:tblStyle w:val="948"/>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2068"/>
        <w:gridCol w:w="7604"/>
      </w:tblGrid>
      <w:tr>
        <w:trPr>
          <w:jc w:val="center"/>
          <w:trHeight w:val="787"/>
        </w:trPr>
        <w:tc>
          <w:tcPr>
            <w:gridSpan w:val="2"/>
            <w:tcW w:w="9652"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表5：XX镇/街住宅小区、公建单位、自建房调查表</w:t>
            </w:r>
            <w:r/>
          </w:p>
        </w:tc>
      </w:tr>
      <w:tr>
        <w:trPr>
          <w:jc w:val="center"/>
          <w:trHeight w:val="964"/>
        </w:trPr>
        <w:tc>
          <w:tcPr>
            <w:shd w:val="clear" w:color="auto" w:fill="auto"/>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（住宅小区、公建单位、自建房）</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名称</w:t>
            </w:r>
            <w:r/>
          </w:p>
        </w:tc>
        <w:tc>
          <w:tcPr>
            <w:shd w:val="clear" w:color="auto" w:fill="auto"/>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r>
        <w:trPr>
          <w:jc w:val="center"/>
          <w:trHeight w:val="964"/>
        </w:trPr>
        <w:tc>
          <w:tcPr>
            <w:shd w:val="clear" w:color="auto" w:fill="auto"/>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污水井位置</w:t>
            </w:r>
            <w:r/>
          </w:p>
        </w:tc>
        <w:tc>
          <w:tcPr>
            <w:shd w:val="clear" w:color="auto" w:fill="auto"/>
            <w:tcW w:w="7604" w:type="dxa"/>
            <w:vAlign w:val="bottom"/>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（污水检查井所处楼栋号、单元号或典型构筑物）</w:t>
            </w:r>
            <w:r/>
          </w:p>
        </w:tc>
      </w:tr>
      <w:tr>
        <w:trPr>
          <w:jc w:val="center"/>
          <w:trHeight w:val="964"/>
        </w:trPr>
        <w:tc>
          <w:tcPr>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井盖材质</w:t>
            </w:r>
            <w:r/>
          </w:p>
        </w:tc>
        <w:tc>
          <w:tcPr>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□塑料      □水泥     □铸铁</w:t>
            </w:r>
            <w:r/>
          </w:p>
        </w:tc>
      </w:tr>
      <w:tr>
        <w:trPr>
          <w:jc w:val="center"/>
          <w:trHeight w:val="964"/>
        </w:trPr>
        <w:tc>
          <w:tcPr>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井盖情况</w:t>
            </w:r>
            <w:r/>
          </w:p>
        </w:tc>
        <w:tc>
          <w:tcPr>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□正常      □缺失      □破损      □被掩埋</w:t>
            </w:r>
            <w:r/>
          </w:p>
        </w:tc>
      </w:tr>
      <w:tr>
        <w:trPr>
          <w:jc w:val="center"/>
          <w:trHeight w:val="964"/>
        </w:trPr>
        <w:tc>
          <w:tcPr>
            <w:shd w:val="clear" w:color="auto" w:fill="auto"/>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井壁属性</w:t>
            </w:r>
            <w:r/>
          </w:p>
        </w:tc>
        <w:tc>
          <w:tcPr>
            <w:shd w:val="clear" w:color="auto" w:fill="auto"/>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□砖砌+水泥抹面  □塑料成品  □混凝土成品</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□无法判断（井内水位较高/井盖无法开启）</w:t>
            </w:r>
            <w:r/>
          </w:p>
        </w:tc>
      </w:tr>
      <w:tr>
        <w:trPr>
          <w:jc w:val="center"/>
          <w:trHeight w:val="964"/>
        </w:trPr>
        <w:tc>
          <w:tcPr>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污水检查井</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井壁缺陷情况</w:t>
            </w:r>
            <w:r/>
          </w:p>
        </w:tc>
        <w:tc>
          <w:tcPr>
            <w:tcBorders>
              <w:bottom w:val="single" w:color="000000" w:sz="4" w:space="0"/>
            </w:tcBorders>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□无破损    □有破损    □无法判断（井内水位较高/井盖无法开启）</w:t>
            </w:r>
            <w:r/>
          </w:p>
        </w:tc>
      </w:tr>
      <w:tr>
        <w:trPr>
          <w:jc w:val="center"/>
          <w:trHeight w:val="964"/>
        </w:trPr>
        <w:tc>
          <w:tcPr>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井壁与管道</w:t>
            </w:r>
            <w:r/>
          </w:p>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连接情况</w:t>
            </w:r>
            <w:r/>
          </w:p>
        </w:tc>
        <w:tc>
          <w:tcPr>
            <w:tcBorders>
              <w:bottom w:val="single" w:color="000000" w:sz="4" w:space="0"/>
            </w:tcBorders>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□有马鞍接头，接口正常    □有马鞍接头，接口异常    □无马鞍接头</w:t>
            </w:r>
            <w:r/>
          </w:p>
        </w:tc>
      </w:tr>
      <w:tr>
        <w:trPr>
          <w:jc w:val="center"/>
          <w:trHeight w:val="964"/>
        </w:trPr>
        <w:tc>
          <w:tcPr>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污水井内</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雨污接管情况</w:t>
            </w:r>
            <w:r/>
          </w:p>
        </w:tc>
        <w:tc>
          <w:tcPr>
            <w:tcBorders>
              <w:bottom w:val="single" w:color="000000" w:sz="4" w:space="0"/>
            </w:tcBorders>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□无雨水管接入        □有雨水管接入</w:t>
            </w:r>
            <w:r/>
          </w:p>
        </w:tc>
      </w:tr>
      <w:tr>
        <w:trPr>
          <w:jc w:val="center"/>
          <w:trHeight w:val="964"/>
        </w:trPr>
        <w:tc>
          <w:tcPr>
            <w:shd w:val="clear" w:color="auto" w:fill="auto"/>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近两年污水井</w:t>
            </w:r>
            <w:r/>
          </w:p>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是否出现漫溢</w:t>
            </w:r>
            <w:r/>
          </w:p>
        </w:tc>
        <w:tc>
          <w:tcPr>
            <w:shd w:val="clear" w:color="auto" w:fill="auto"/>
            <w:tcW w:w="7604" w:type="dxa"/>
            <w:vAlign w:val="center"/>
            <w:textDirection w:val="lrTb"/>
            <w:noWrap w:val="false"/>
          </w:tcPr>
          <w:p>
            <w:pPr>
              <w:ind w:firstLine="0"/>
              <w:jc w:val="center"/>
              <w:spacing w:before="0" w:line="240" w:lineRule="auto"/>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□有漫溢            □无漫溢</w:t>
            </w:r>
            <w:r/>
          </w:p>
        </w:tc>
      </w:tr>
      <w:tr>
        <w:trPr>
          <w:jc w:val="center"/>
          <w:trHeight w:val="964"/>
        </w:trPr>
        <w:tc>
          <w:tcPr>
            <w:shd w:val="clear" w:color="auto" w:fill="auto"/>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运维主体</w:t>
            </w:r>
            <w:r/>
          </w:p>
        </w:tc>
        <w:tc>
          <w:tcPr>
            <w:shd w:val="clear" w:color="auto" w:fill="auto"/>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□北控水务     □公用环保     □属地负责</w:t>
            </w:r>
            <w:r/>
          </w:p>
        </w:tc>
      </w:tr>
      <w:tr>
        <w:trPr>
          <w:jc w:val="center"/>
          <w:trHeight w:val="964"/>
        </w:trPr>
        <w:tc>
          <w:tcPr>
            <w:shd w:val="clear" w:color="auto" w:fill="auto"/>
            <w:tcW w:w="2068"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其他情况</w:t>
            </w:r>
            <w:r/>
          </w:p>
        </w:tc>
        <w:tc>
          <w:tcPr>
            <w:shd w:val="clear" w:color="auto" w:fill="auto"/>
            <w:tcW w:w="7604" w:type="dxa"/>
            <w:vAlign w:val="center"/>
            <w:textDirection w:val="lrTb"/>
            <w:noWrap w:val="false"/>
          </w:tcPr>
          <w:p>
            <w:pPr>
              <w:ind w:firstLine="0"/>
              <w:jc w:val="center"/>
              <w:spacing w:before="0"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r>
            <w:r/>
          </w:p>
        </w:tc>
      </w:tr>
    </w:tbl>
    <w:p>
      <w:pPr>
        <w:pStyle w:val="963"/>
        <w:jc w:val="left"/>
        <w:spacing w:before="156"/>
        <w:rPr>
          <w:rFonts w:cs="Times New Roman"/>
          <w:b w:val="0"/>
          <w:bCs/>
          <w:color w:val="auto"/>
          <w:sz w:val="24"/>
          <w:szCs w:val="28"/>
        </w:rPr>
      </w:pPr>
      <w:r>
        <w:rPr>
          <w:rFonts w:hint="eastAsia" w:cs="Times New Roman"/>
          <w:b w:val="0"/>
          <w:bCs/>
          <w:color w:val="auto"/>
          <w:sz w:val="24"/>
          <w:szCs w:val="28"/>
        </w:rPr>
        <w:t xml:space="preserve">备注：本表一个排水单元填写一张                     排查人员：</w:t>
      </w:r>
      <w:r/>
    </w:p>
    <w:p>
      <w:pPr>
        <w:pStyle w:val="963"/>
        <w:jc w:val="left"/>
        <w:spacing w:before="156"/>
        <w:rPr>
          <w:rFonts w:cs="Times New Roman"/>
          <w:color w:val="auto"/>
          <w:sz w:val="24"/>
          <w:szCs w:val="28"/>
        </w:rPr>
      </w:pPr>
      <w:r>
        <w:rPr>
          <w:rFonts w:hint="eastAsia" w:cs="Times New Roman"/>
          <w:b w:val="0"/>
          <w:bCs/>
          <w:color w:val="auto"/>
          <w:sz w:val="24"/>
          <w:szCs w:val="28"/>
        </w:rPr>
        <w:t xml:space="preserve">                                                   排查日期：</w:t>
      </w:r>
      <w:r/>
    </w:p>
    <w:p>
      <w:pPr>
        <w:pStyle w:val="949"/>
        <w:ind w:left="0" w:firstLine="0"/>
        <w:rPr>
          <w:rFonts w:hint="default"/>
          <w:color w:val="auto"/>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default"/>
          <w:color w:val="auto"/>
          <w:lang w:val="en-US" w:eastAsia="zh-CN"/>
        </w:rPr>
      </w:r>
      <w:r/>
    </w:p>
    <w:p>
      <w:pPr>
        <w:jc w:val="center"/>
        <w:spacing w:line="360" w:lineRule="auto"/>
        <w:rPr>
          <w:rFonts w:hint="eastAsia" w:ascii="黑体" w:hAnsi="黑体" w:eastAsia="黑体"/>
          <w:bCs/>
          <w:color w:val="auto"/>
          <w:sz w:val="28"/>
          <w:highlight w:val="none"/>
        </w:rPr>
        <w:outlineLvl w:val="0"/>
      </w:pPr>
      <w:r/>
      <w:bookmarkStart w:id="29" w:name="_Toc16158"/>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bookmarkEnd w:id="29"/>
      <w:r/>
      <w:r/>
    </w:p>
    <w:p>
      <w:pPr>
        <w:jc w:val="left"/>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left"/>
        <w:keepLines w:val="0"/>
        <w:keepNext w:val="0"/>
        <w:pageBreakBefore w:val="0"/>
        <w:spacing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第一部分</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评审方法</w:t>
      </w:r>
      <w:r/>
    </w:p>
    <w:p>
      <w:pPr>
        <w:ind w:firstLine="480"/>
        <w:jc w:val="left"/>
        <w:keepLines w:val="0"/>
        <w:keepNext w:val="0"/>
        <w:pageBreakBefore w:val="0"/>
        <w:spacing w:line="360" w:lineRule="auto"/>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1、供应商通过资格审查和符合性审查的，方可进入比较与评价程序。比较与评价采用综合评分法。</w:t>
      </w:r>
      <w:r/>
    </w:p>
    <w:p>
      <w:pPr>
        <w:ind w:firstLine="480"/>
        <w:jc w:val="left"/>
        <w:keepLines w:val="0"/>
        <w:keepNext w:val="0"/>
        <w:pageBreakBefore w:val="0"/>
        <w:spacing w:line="360" w:lineRule="auto"/>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2、磋商小组遵循公平、公正、择优原则，独立按照评标标准分别评定供应商的分值；各供应商的评审后得分为各评委所评定分值的平均值，并按高低顺序排列。得分相同的，按报价由低到高顺序排列；得分相同且报价相同的，由采购人代表抽签确定排序。响应文件满足磋商文件全部实质性要求，且按照评审因素的量化指标评审得分最高的供应商排名第一，以此类推，按排名先后顺序选取3名成交候选人。</w:t>
      </w:r>
      <w:r/>
    </w:p>
    <w:p>
      <w:pPr>
        <w:ind w:firstLine="482"/>
        <w:jc w:val="left"/>
        <w:keepLines w:val="0"/>
        <w:keepNext w:val="0"/>
        <w:pageBreakBefore w:val="0"/>
        <w:spacing w:line="360" w:lineRule="auto"/>
        <w:widowControl w:val="off"/>
        <w:rPr>
          <w:rFonts w:hint="eastAsia" w:ascii="宋体" w:hAnsi="宋体"/>
          <w:b w:val="0"/>
          <w:bCs w:val="0"/>
          <w:color w:val="auto"/>
          <w:sz w:val="24"/>
          <w:szCs w:val="24"/>
          <w:highlight w:val="none"/>
        </w:rPr>
      </w:pPr>
      <w:r>
        <w:rPr>
          <w:rFonts w:hint="eastAsia" w:ascii="宋体" w:hAnsi="宋体"/>
          <w:b/>
          <w:bCs/>
          <w:color w:val="auto"/>
          <w:sz w:val="24"/>
          <w:szCs w:val="24"/>
          <w:highlight w:val="none"/>
        </w:rPr>
        <w:t xml:space="preserve">3、落实政府采购政策的价格调整。</w:t>
      </w:r>
      <w:r>
        <w:rPr>
          <w:rFonts w:hint="eastAsia" w:ascii="宋体" w:hAnsi="宋体"/>
          <w:b w:val="0"/>
          <w:bCs w:val="0"/>
          <w:color w:val="auto"/>
          <w:sz w:val="24"/>
          <w:szCs w:val="24"/>
          <w:highlight w:val="none"/>
        </w:rPr>
        <w:t xml:space="preserve">详见“第二章 供应商须知”中“3.6 政府采购支持中小企业发展”。</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
          <w:bCs/>
          <w:color w:val="auto"/>
          <w:sz w:val="24"/>
          <w:szCs w:val="24"/>
          <w:highlight w:val="none"/>
        </w:rPr>
        <w:t xml:space="preserve">3.1 小微型企业价格扣除：专门面向中小/小微企业的项目不做价格扣除。</w:t>
      </w:r>
      <w:r/>
    </w:p>
    <w:p>
      <w:pPr>
        <w:jc w:val="left"/>
        <w:keepLines w:val="0"/>
        <w:keepNext w:val="0"/>
        <w:pageBreakBefore w:val="0"/>
        <w:spacing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第</w:t>
      </w:r>
      <w:r>
        <w:rPr>
          <w:rFonts w:hint="eastAsia" w:ascii="宋体" w:hAnsi="宋体"/>
          <w:b/>
          <w:bCs/>
          <w:color w:val="auto"/>
          <w:sz w:val="28"/>
          <w:szCs w:val="28"/>
          <w:highlight w:val="none"/>
          <w:lang w:eastAsia="zh-CN"/>
        </w:rPr>
        <w:t xml:space="preserve">二</w:t>
      </w:r>
      <w:r>
        <w:rPr>
          <w:rFonts w:hint="eastAsia" w:ascii="宋体" w:hAnsi="宋体"/>
          <w:b/>
          <w:bCs/>
          <w:color w:val="auto"/>
          <w:sz w:val="28"/>
          <w:szCs w:val="28"/>
          <w:highlight w:val="none"/>
        </w:rPr>
        <w:t xml:space="preserve">部分</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评分标准</w:t>
      </w:r>
      <w:r/>
    </w:p>
    <w:p>
      <w:pPr>
        <w:rPr>
          <w:rFonts w:hint="eastAsia"/>
          <w:color w:val="auto"/>
        </w:rPr>
      </w:pPr>
      <w:r>
        <w:rPr>
          <w:rFonts w:hint="eastAsia"/>
          <w:color w:val="auto"/>
        </w:rPr>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一、采用综合评分法（总分100分），其中：</w:t>
      </w:r>
      <w:r/>
    </w:p>
    <w:tbl>
      <w:tblPr>
        <w:tblStyle w:val="94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6563"/>
      </w:tblGrid>
      <w:tr>
        <w:trPr>
          <w:jc w:val="center"/>
          <w:trHeight w:val="680"/>
        </w:trPr>
        <w:tc>
          <w:tcPr>
            <w:tcW w:w="1669" w:type="pct"/>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技术部分</w:t>
            </w:r>
            <w:r/>
          </w:p>
        </w:tc>
        <w:tc>
          <w:tcPr>
            <w:tcW w:w="3330" w:type="pct"/>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val="0"/>
                <w:bCs w:val="0"/>
                <w:color w:val="auto"/>
                <w:sz w:val="24"/>
                <w:szCs w:val="24"/>
                <w:highlight w:val="none"/>
                <w:lang w:val="en-US" w:eastAsia="zh-CN"/>
              </w:rPr>
              <w:t xml:space="preserve">60分</w:t>
            </w:r>
            <w:r/>
          </w:p>
        </w:tc>
      </w:tr>
      <w:tr>
        <w:trPr>
          <w:jc w:val="center"/>
          <w:trHeight w:val="680"/>
        </w:trPr>
        <w:tc>
          <w:tcPr>
            <w:tcW w:w="1669" w:type="pct"/>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商务部分</w:t>
            </w:r>
            <w:r/>
          </w:p>
        </w:tc>
        <w:tc>
          <w:tcPr>
            <w:tcW w:w="3330" w:type="pct"/>
            <w:vAlign w:val="center"/>
            <w:textDirection w:val="lrTb"/>
            <w:noWrap w:val="false"/>
          </w:tcPr>
          <w:p>
            <w:pPr>
              <w:jc w:val="center"/>
              <w:rPr>
                <w:rFonts w:hint="eastAsia" w:ascii="宋体" w:hAnsi="宋体" w:cs="宋体"/>
                <w:b/>
                <w:bCs/>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20分</w:t>
            </w:r>
            <w:r/>
          </w:p>
        </w:tc>
      </w:tr>
      <w:tr>
        <w:trPr>
          <w:jc w:val="center"/>
          <w:trHeight w:val="680"/>
        </w:trPr>
        <w:tc>
          <w:tcPr>
            <w:tcW w:w="1669" w:type="pct"/>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价格部分</w:t>
            </w:r>
            <w:r/>
          </w:p>
        </w:tc>
        <w:tc>
          <w:tcPr>
            <w:tcW w:w="3330" w:type="pct"/>
            <w:vAlign w:val="center"/>
            <w:textDirection w:val="lrTb"/>
            <w:noWrap w:val="false"/>
          </w:tcPr>
          <w:p>
            <w:pPr>
              <w:jc w:val="center"/>
              <w:rPr>
                <w:rFonts w:hint="default" w:ascii="宋体" w:hAnsi="宋体" w:eastAsia="宋体"/>
                <w:b/>
                <w:bCs/>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20分</w:t>
            </w:r>
            <w:r/>
          </w:p>
        </w:tc>
      </w:tr>
    </w:tbl>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二、评审内容和标准：</w:t>
      </w:r>
      <w:r/>
    </w:p>
    <w:tbl>
      <w:tblPr>
        <w:tblStyle w:val="948"/>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6" w:type="dxa"/>
          <w:right w:w="108" w:type="dxa"/>
          <w:bottom w:w="57" w:type="dxa"/>
        </w:tblCellMar>
        <w:tblLook w:val="04A0" w:firstRow="1" w:lastRow="0" w:firstColumn="1" w:lastColumn="0" w:noHBand="0" w:noVBand="1"/>
      </w:tblPr>
      <w:tblGrid>
        <w:gridCol w:w="806"/>
        <w:gridCol w:w="815"/>
        <w:gridCol w:w="819"/>
        <w:gridCol w:w="819"/>
        <w:gridCol w:w="6563"/>
        <w:gridCol w:w="14"/>
      </w:tblGrid>
      <w:tr>
        <w:trPr>
          <w:cantSplit/>
          <w:gridAfter w:val="1"/>
          <w:jc w:val="center"/>
          <w:trHeight w:val="85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b/>
                <w:bCs/>
                <w:color w:val="auto"/>
                <w:highlight w:val="none"/>
              </w:rPr>
            </w:pPr>
            <w:r>
              <w:rPr>
                <w:rFonts w:hint="eastAsia" w:ascii="宋体" w:hAnsi="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评审</w:t>
            </w:r>
            <w:r/>
          </w:p>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评审细则</w:t>
            </w:r>
            <w:r/>
          </w:p>
        </w:tc>
      </w:tr>
      <w:tr>
        <w:trPr>
          <w:cantSplit/>
          <w:gridAfter w:val="1"/>
          <w:jc w:val="center"/>
          <w:trHeight w:val="502"/>
        </w:trPr>
        <w:tc>
          <w:tcPr>
            <w:tcBorders>
              <w:top w:val="single" w:color="auto" w:sz="4" w:space="0"/>
              <w:left w:val="single" w:color="auto" w:sz="4" w:space="0"/>
              <w:right w:val="single" w:color="auto" w:sz="4" w:space="0"/>
            </w:tcBorders>
            <w:tcW w:w="410" w:type="pct"/>
            <w:vAlign w:val="center"/>
            <w:vMerge w:val="restart"/>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技术部分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项目安排</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根据供应商项目的总体安排与资源配置的合理性进行综合评分：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资源配置合理，完全符合采购需求的得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资源配置基本合理，有一定的可操作性的得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分；</w:t>
            </w:r>
            <w:r/>
          </w:p>
          <w:p>
            <w:pPr>
              <w:ind w:firstLine="24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资源配置不合理，操作性较差的得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未提供的得0分。</w:t>
            </w:r>
            <w:r/>
          </w:p>
        </w:tc>
      </w:tr>
      <w:tr>
        <w:trPr>
          <w:cantSplit/>
          <w:gridAfter w:val="1"/>
          <w:jc w:val="center"/>
          <w:trHeight w:val="502"/>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项目理解</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根据对供应商对本项目总体思路的理解和设想进行综合评分（包括对项目的认识、工作目标、服务重点、难点及措施等）：</w:t>
            </w:r>
            <w:r/>
          </w:p>
          <w:p>
            <w:pPr>
              <w:ind w:firstLine="24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整体认识准确，思路清晰，能准确把握规划的重点、难点，分析透彻，操作性强的得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整体认识较准确，思路较清晰，基本抓住重点、难点，分析达到一定深度，能基本符合采购需求的得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整体认识较一般，思路一般的得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未提供的得0分。</w:t>
            </w:r>
            <w:r/>
          </w:p>
        </w:tc>
      </w:tr>
      <w:tr>
        <w:trPr>
          <w:cantSplit/>
          <w:gridAfter w:val="1"/>
          <w:jc w:val="center"/>
          <w:trHeight w:val="502"/>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排查方案</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根据供应商对本项目范围内河道排口排查方案、雨污水管网排查方案、</w:t>
            </w:r>
            <w:r>
              <w:rPr>
                <w:rFonts w:hint="eastAsia" w:ascii="宋体" w:hAnsi="宋体" w:eastAsia="宋体" w:cs="宋体"/>
                <w:color w:val="auto"/>
                <w:sz w:val="24"/>
                <w:szCs w:val="24"/>
                <w:highlight w:val="none"/>
                <w:lang w:val="en-US" w:eastAsia="zh-CN"/>
              </w:rPr>
              <w:t xml:space="preserve">问题</w:t>
            </w:r>
            <w:r>
              <w:rPr>
                <w:rFonts w:hint="eastAsia" w:ascii="宋体" w:hAnsi="宋体" w:eastAsia="宋体" w:cs="宋体"/>
                <w:color w:val="auto"/>
                <w:sz w:val="24"/>
                <w:szCs w:val="24"/>
                <w:highlight w:val="none"/>
                <w:lang w:val="en-US" w:eastAsia="en-US"/>
              </w:rPr>
              <w:t xml:space="preserve">排口溯源进行综合评分：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分析透彻，应对措施方案全面、具体，操作性强的得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分析基本透彻，应对措施方案基本全面，有一定的可操作性的得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分析不全面，措施方案的操作性较差的得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未提供的得0分。</w:t>
            </w:r>
            <w:r/>
          </w:p>
        </w:tc>
      </w:tr>
      <w:tr>
        <w:trPr>
          <w:cantSplit/>
          <w:gridAfter w:val="1"/>
          <w:jc w:val="center"/>
          <w:trHeight w:val="502"/>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分析河道及排水现状</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根据供应商对河道及排水现状的分析程度进行综合评分：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分析透彻，操作性强的得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分析基本透彻，有一定的可操作性的得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分析不全面，可操作性较差的得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未提供的得0分。</w:t>
            </w:r>
            <w:r/>
          </w:p>
        </w:tc>
      </w:tr>
      <w:tr>
        <w:trPr>
          <w:cantSplit/>
          <w:gridAfter w:val="1"/>
          <w:jc w:val="center"/>
          <w:trHeight w:val="502"/>
        </w:trPr>
        <w:tc>
          <w:tcPr>
            <w:tcBorders>
              <w:left w:val="single" w:color="auto" w:sz="4" w:space="0"/>
              <w:right w:val="single" w:color="auto" w:sz="4" w:space="0"/>
            </w:tcBorders>
            <w:tcW w:w="410" w:type="pct"/>
            <w:vAlign w:val="center"/>
            <w:vMerge w:val="continue"/>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质量保证措施</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根据供应商对本项目的质量保证措施、进度保证措施方面进行综合评分：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方案全面、具体，可操作性强的得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en-US"/>
              </w:rPr>
              <w:t xml:space="preserve">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方案较全面、具体，有一定的可操作性的得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分；</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方案基本全面，操作性一般的得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en-US"/>
              </w:rPr>
              <w:t xml:space="preserve">分</w:t>
            </w:r>
            <w:r>
              <w:rPr>
                <w:rFonts w:hint="eastAsia" w:ascii="宋体" w:hAnsi="宋体" w:cs="宋体"/>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未提供的得0分。</w:t>
            </w:r>
            <w:r/>
          </w:p>
        </w:tc>
      </w:tr>
      <w:tr>
        <w:trPr>
          <w:cantSplit/>
          <w:gridAfter w:val="1"/>
          <w:jc w:val="center"/>
          <w:trHeight w:val="5349"/>
        </w:trPr>
        <w:tc>
          <w:tcPr>
            <w:tcBorders>
              <w:left w:val="single" w:color="auto" w:sz="4" w:space="0"/>
              <w:right w:val="single" w:color="auto" w:sz="4" w:space="0"/>
            </w:tcBorders>
            <w:tcW w:w="410" w:type="pct"/>
            <w:vAlign w:val="center"/>
            <w:vMerge w:val="restart"/>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商务部分</w:t>
            </w:r>
            <w:r/>
          </w:p>
        </w:tc>
        <w:tc>
          <w:tcPr>
            <w:tcBorders>
              <w:top w:val="single" w:color="auto" w:sz="4" w:space="0"/>
              <w:left w:val="single" w:color="auto" w:sz="4" w:space="0"/>
              <w:right w:val="single" w:color="auto" w:sz="4" w:space="0"/>
            </w:tcBorders>
            <w:tcW w:w="414" w:type="pct"/>
            <w:vAlign w:val="center"/>
            <w:textDirection w:val="lrTb"/>
            <w:noWrap w:val="false"/>
          </w:tcPr>
          <w:p>
            <w:pPr>
              <w:pStyle w:val="962"/>
              <w:ind w:left="117" w:right="131" w:firstLine="1"/>
              <w:jc w:val="center"/>
              <w:spacing w:before="38" w:line="241" w:lineRule="auto"/>
              <w:rPr>
                <w:rFonts w:hint="eastAsia" w:ascii="宋体" w:hAnsi="宋体" w:eastAsia="宋体" w:cs="宋体"/>
                <w:color w:val="auto"/>
                <w:sz w:val="24"/>
                <w:szCs w:val="24"/>
                <w:highlight w:val="none"/>
                <w:lang w:val="en-US" w:eastAsia="zh-CN"/>
              </w:rPr>
            </w:pPr>
            <w:r>
              <w:rPr>
                <w:rFonts w:hint="eastAsia" w:eastAsia="宋体"/>
                <w:color w:val="auto"/>
                <w:lang w:val="en-US" w:eastAsia="zh-CN"/>
              </w:rPr>
              <w:t xml:space="preserve">1</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w:t>
            </w:r>
            <w:r/>
          </w:p>
          <w:p>
            <w:pPr>
              <w:jc w:val="center"/>
              <w:spacing w:line="400" w:lineRule="exact"/>
              <w:tabs>
                <w:tab w:val="left" w:pos="420" w:leader="none"/>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配置</w:t>
            </w:r>
            <w:r/>
          </w:p>
        </w:tc>
        <w:tc>
          <w:tcPr>
            <w:tcBorders>
              <w:top w:val="single" w:color="auto" w:sz="4" w:space="0"/>
              <w:left w:val="single" w:color="auto" w:sz="4" w:space="0"/>
              <w:right w:val="single" w:color="auto" w:sz="4" w:space="0"/>
            </w:tcBorders>
            <w:tcW w:w="416" w:type="pct"/>
            <w:vAlign w:val="center"/>
            <w:textDirection w:val="lrTb"/>
            <w:noWrap w:val="false"/>
          </w:tcPr>
          <w:p>
            <w:pPr>
              <w:ind w:left="0" w:firstLine="0"/>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en-US"/>
              </w:rPr>
              <w:t xml:space="preserve">分</w:t>
            </w:r>
            <w:r/>
          </w:p>
        </w:tc>
        <w:tc>
          <w:tcPr>
            <w:tcBorders>
              <w:top w:val="single" w:color="auto" w:sz="4" w:space="0"/>
              <w:left w:val="single" w:color="auto" w:sz="4" w:space="0"/>
              <w:right w:val="single" w:color="auto" w:sz="4" w:space="0"/>
            </w:tcBorders>
            <w:tcW w:w="3335" w:type="pct"/>
            <w:vAlign w:val="center"/>
            <w:textDirection w:val="lrTb"/>
            <w:noWrap w:val="false"/>
          </w:tcPr>
          <w:p>
            <w:pPr>
              <w:numPr>
                <w:ilvl w:val="0"/>
                <w:numId w:val="6"/>
              </w:numPr>
              <w:ind w:firstLine="241"/>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项目负责人</w:t>
            </w:r>
            <w:r>
              <w:rPr>
                <w:rFonts w:hint="eastAsia" w:ascii="宋体" w:hAnsi="宋体" w:cs="宋体"/>
                <w:b/>
                <w:bCs/>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具有正高</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lang w:val="en-US" w:eastAsia="en-US"/>
              </w:rPr>
              <w:t xml:space="preserve">职称的，得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项目负责人具有</w:t>
            </w:r>
            <w:r>
              <w:rPr>
                <w:rFonts w:hint="eastAsia" w:ascii="宋体" w:hAnsi="宋体" w:eastAsia="宋体" w:cs="宋体"/>
                <w:color w:val="auto"/>
                <w:sz w:val="24"/>
                <w:szCs w:val="24"/>
                <w:highlight w:val="none"/>
                <w:lang w:val="en-US" w:eastAsia="zh-CN"/>
              </w:rPr>
              <w:t xml:space="preserve">副</w:t>
            </w:r>
            <w:r>
              <w:rPr>
                <w:rFonts w:hint="eastAsia" w:ascii="宋体" w:hAnsi="宋体" w:eastAsia="宋体" w:cs="宋体"/>
                <w:color w:val="auto"/>
                <w:sz w:val="24"/>
                <w:szCs w:val="24"/>
                <w:highlight w:val="none"/>
                <w:lang w:val="en-US" w:eastAsia="en-US"/>
              </w:rPr>
              <w:t xml:space="preserve">高</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lang w:val="en-US" w:eastAsia="en-US"/>
              </w:rPr>
              <w:t xml:space="preserve">职称的，得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项目负责人具有</w:t>
            </w:r>
            <w:r>
              <w:rPr>
                <w:rFonts w:hint="eastAsia" w:ascii="宋体" w:hAnsi="宋体" w:eastAsia="宋体" w:cs="宋体"/>
                <w:color w:val="auto"/>
                <w:sz w:val="24"/>
                <w:szCs w:val="24"/>
                <w:highlight w:val="none"/>
                <w:lang w:val="en-US" w:eastAsia="zh-CN"/>
              </w:rPr>
              <w:t xml:space="preserve">中级及以下</w:t>
            </w:r>
            <w:r>
              <w:rPr>
                <w:rFonts w:hint="eastAsia" w:ascii="宋体" w:hAnsi="宋体" w:eastAsia="宋体" w:cs="宋体"/>
                <w:color w:val="auto"/>
                <w:sz w:val="24"/>
                <w:szCs w:val="24"/>
                <w:highlight w:val="none"/>
                <w:lang w:val="en-US" w:eastAsia="en-US"/>
              </w:rPr>
              <w:t xml:space="preserve">职称的，得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分</w:t>
            </w:r>
            <w:r>
              <w:rPr>
                <w:rFonts w:hint="eastAsia" w:ascii="宋体" w:hAnsi="宋体" w:eastAsia="宋体" w:cs="宋体"/>
                <w:color w:val="auto"/>
                <w:sz w:val="24"/>
                <w:szCs w:val="24"/>
                <w:highlight w:val="none"/>
                <w:lang w:val="en-US" w:eastAsia="zh-CN"/>
              </w:rPr>
              <w:t xml:space="preserve">。</w:t>
            </w:r>
            <w:r/>
          </w:p>
          <w:p>
            <w:pPr>
              <w:ind w:firstLine="241"/>
              <w:keepLines w:val="0"/>
              <w:keepNext w:val="0"/>
              <w:pageBreakBefore w:val="0"/>
              <w:spacing w:line="400" w:lineRule="exact"/>
              <w:widowControl w:val="off"/>
              <w:rPr>
                <w:rFonts w:hint="eastAsia" w:ascii="宋体" w:hAnsi="宋体" w:cs="宋体"/>
                <w:b/>
                <w:bCs/>
                <w:color w:val="auto"/>
                <w:sz w:val="24"/>
                <w:szCs w:val="24"/>
              </w:rPr>
            </w:pPr>
            <w:r>
              <w:rPr>
                <w:rFonts w:hint="eastAsia" w:ascii="宋体" w:hAnsi="宋体" w:cs="宋体"/>
                <w:b/>
                <w:bCs/>
                <w:color w:val="auto"/>
                <w:sz w:val="24"/>
                <w:szCs w:val="24"/>
              </w:rPr>
              <w:t xml:space="preserve">【须提供上述人员</w:t>
            </w:r>
            <w:r>
              <w:rPr>
                <w:rFonts w:hint="eastAsia" w:ascii="宋体" w:hAnsi="宋体" w:cs="宋体"/>
                <w:b/>
                <w:bCs/>
                <w:color w:val="auto"/>
                <w:sz w:val="24"/>
                <w:szCs w:val="24"/>
                <w:lang w:eastAsia="zh-CN"/>
              </w:rPr>
              <w:t xml:space="preserve">职称证明</w:t>
            </w:r>
            <w:r>
              <w:rPr>
                <w:rFonts w:hint="eastAsia" w:ascii="宋体" w:hAnsi="宋体" w:cs="宋体"/>
                <w:b/>
                <w:bCs/>
                <w:color w:val="auto"/>
                <w:sz w:val="24"/>
                <w:szCs w:val="24"/>
              </w:rPr>
              <w:t xml:space="preserve">以及近</w:t>
            </w: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rPr>
              <w:t xml:space="preserve">个月</w:t>
            </w:r>
            <w:r>
              <w:rPr>
                <w:rFonts w:hint="eastAsia" w:ascii="宋体" w:hAnsi="宋体" w:cs="宋体"/>
                <w:b/>
                <w:bCs/>
                <w:color w:val="auto"/>
                <w:sz w:val="24"/>
                <w:szCs w:val="24"/>
                <w:lang w:eastAsia="zh-CN"/>
              </w:rPr>
              <w:t xml:space="preserve">内</w:t>
            </w:r>
            <w:r>
              <w:rPr>
                <w:rFonts w:hint="eastAsia" w:ascii="宋体" w:hAnsi="宋体" w:cs="宋体"/>
                <w:b/>
                <w:bCs/>
                <w:color w:val="auto"/>
                <w:sz w:val="24"/>
                <w:szCs w:val="24"/>
              </w:rPr>
              <w:t xml:space="preserve">(指202</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年</w:t>
            </w:r>
            <w:r>
              <w:rPr>
                <w:rFonts w:hint="eastAsia" w:ascii="宋体" w:hAnsi="宋体" w:cs="宋体"/>
                <w:b/>
                <w:bCs/>
                <w:color w:val="auto"/>
                <w:sz w:val="24"/>
                <w:szCs w:val="24"/>
                <w:lang w:val="en-US" w:eastAsia="zh-CN"/>
              </w:rPr>
              <w:t xml:space="preserve">6</w:t>
            </w:r>
            <w:r>
              <w:rPr>
                <w:rFonts w:hint="eastAsia" w:ascii="宋体" w:hAnsi="宋体" w:cs="宋体"/>
                <w:b/>
                <w:bCs/>
                <w:color w:val="auto"/>
                <w:sz w:val="24"/>
                <w:szCs w:val="24"/>
              </w:rPr>
              <w:t xml:space="preserve">月-2025年</w:t>
            </w: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月)任意</w:t>
            </w:r>
            <w:r>
              <w:rPr>
                <w:rFonts w:hint="eastAsia" w:ascii="宋体" w:hAnsi="宋体" w:cs="宋体"/>
                <w:b/>
                <w:bCs/>
                <w:color w:val="auto"/>
                <w:sz w:val="24"/>
                <w:szCs w:val="24"/>
                <w:lang w:eastAsia="zh-CN"/>
              </w:rPr>
              <w:t xml:space="preserve">一</w:t>
            </w:r>
            <w:r>
              <w:rPr>
                <w:rFonts w:hint="eastAsia" w:ascii="宋体" w:hAnsi="宋体" w:cs="宋体"/>
                <w:b/>
                <w:bCs/>
                <w:color w:val="auto"/>
                <w:sz w:val="24"/>
                <w:szCs w:val="24"/>
              </w:rPr>
              <w:t xml:space="preserve">个月供应商</w:t>
            </w:r>
            <w:r>
              <w:rPr>
                <w:rFonts w:hint="eastAsia" w:ascii="宋体" w:hAnsi="宋体" w:eastAsia="宋体" w:cs="宋体"/>
                <w:b/>
                <w:bCs/>
                <w:color w:val="auto"/>
                <w:sz w:val="24"/>
                <w:szCs w:val="24"/>
                <w:highlight w:val="none"/>
                <w:lang w:val="en-US" w:eastAsia="zh-CN"/>
              </w:rPr>
              <w:t xml:space="preserve">或其子</w:t>
            </w:r>
            <w:r>
              <w:rPr>
                <w:rFonts w:hint="eastAsia" w:ascii="宋体" w:hAnsi="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公司</w:t>
            </w:r>
            <w:r>
              <w:rPr>
                <w:rFonts w:hint="eastAsia" w:ascii="宋体" w:hAnsi="宋体" w:cs="宋体"/>
                <w:b/>
                <w:bCs/>
                <w:color w:val="auto"/>
                <w:sz w:val="24"/>
                <w:szCs w:val="24"/>
              </w:rPr>
              <w:t xml:space="preserve">为其缴纳的社保证明】</w:t>
            </w:r>
            <w:r/>
          </w:p>
          <w:p>
            <w:pPr>
              <w:numPr>
                <w:ilvl w:val="0"/>
                <w:numId w:val="6"/>
              </w:numPr>
              <w:ind w:firstLine="241"/>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项目组人员（除项目负责人外）</w:t>
            </w:r>
            <w:r>
              <w:rPr>
                <w:rFonts w:hint="eastAsia" w:ascii="宋体" w:hAnsi="宋体" w:eastAsia="宋体" w:cs="宋体"/>
                <w:b/>
                <w:bCs/>
                <w:color w:val="auto"/>
                <w:sz w:val="24"/>
                <w:szCs w:val="24"/>
                <w:highlight w:val="none"/>
                <w:lang w:val="en-US" w:eastAsia="zh-CN"/>
              </w:rPr>
              <w:t xml:space="preserve">：</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en-US"/>
              </w:rPr>
            </w:pPr>
            <w:r>
              <w:rPr>
                <w:rFonts w:hint="default" w:ascii="宋体" w:hAnsi="宋体" w:eastAsia="宋体" w:cs="宋体"/>
                <w:b w:val="0"/>
                <w:bCs w:val="0"/>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en-US"/>
              </w:rPr>
              <w:t xml:space="preserve">项</w:t>
            </w:r>
            <w:r>
              <w:rPr>
                <w:rFonts w:hint="eastAsia" w:ascii="宋体" w:hAnsi="宋体" w:eastAsia="宋体" w:cs="宋体"/>
                <w:color w:val="auto"/>
                <w:sz w:val="24"/>
                <w:szCs w:val="24"/>
                <w:highlight w:val="none"/>
                <w:lang w:val="en-US" w:eastAsia="en-US"/>
              </w:rPr>
              <w:t xml:space="preserve">目组人员每增加1人得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en-US"/>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分。</w:t>
            </w:r>
            <w:r/>
          </w:p>
          <w:p>
            <w:pPr>
              <w:ind w:firstLine="241"/>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rPr>
              <w:t xml:space="preserve">【须提供上述人员近</w:t>
            </w: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rPr>
              <w:t xml:space="preserve">个月</w:t>
            </w:r>
            <w:r>
              <w:rPr>
                <w:rFonts w:hint="eastAsia" w:ascii="宋体" w:hAnsi="宋体" w:cs="宋体"/>
                <w:b/>
                <w:bCs/>
                <w:color w:val="auto"/>
                <w:sz w:val="24"/>
                <w:szCs w:val="24"/>
                <w:lang w:eastAsia="zh-CN"/>
              </w:rPr>
              <w:t xml:space="preserve">内</w:t>
            </w:r>
            <w:r>
              <w:rPr>
                <w:rFonts w:hint="eastAsia" w:ascii="宋体" w:hAnsi="宋体" w:cs="宋体"/>
                <w:b/>
                <w:bCs/>
                <w:color w:val="auto"/>
                <w:sz w:val="24"/>
                <w:szCs w:val="24"/>
              </w:rPr>
              <w:t xml:space="preserve">(指202</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年</w:t>
            </w:r>
            <w:r>
              <w:rPr>
                <w:rFonts w:hint="eastAsia" w:ascii="宋体" w:hAnsi="宋体" w:cs="宋体"/>
                <w:b/>
                <w:bCs/>
                <w:color w:val="auto"/>
                <w:sz w:val="24"/>
                <w:szCs w:val="24"/>
                <w:lang w:val="en-US" w:eastAsia="zh-CN"/>
              </w:rPr>
              <w:t xml:space="preserve">6</w:t>
            </w:r>
            <w:r>
              <w:rPr>
                <w:rFonts w:hint="eastAsia" w:ascii="宋体" w:hAnsi="宋体" w:cs="宋体"/>
                <w:b/>
                <w:bCs/>
                <w:color w:val="auto"/>
                <w:sz w:val="24"/>
                <w:szCs w:val="24"/>
              </w:rPr>
              <w:t xml:space="preserve">月-2025年</w:t>
            </w: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月)任意</w:t>
            </w:r>
            <w:r>
              <w:rPr>
                <w:rFonts w:hint="eastAsia" w:ascii="宋体" w:hAnsi="宋体" w:cs="宋体"/>
                <w:b/>
                <w:bCs/>
                <w:color w:val="auto"/>
                <w:sz w:val="24"/>
                <w:szCs w:val="24"/>
                <w:lang w:eastAsia="zh-CN"/>
              </w:rPr>
              <w:t xml:space="preserve">一</w:t>
            </w:r>
            <w:r>
              <w:rPr>
                <w:rFonts w:hint="eastAsia" w:ascii="宋体" w:hAnsi="宋体" w:cs="宋体"/>
                <w:b/>
                <w:bCs/>
                <w:color w:val="auto"/>
                <w:sz w:val="24"/>
                <w:szCs w:val="24"/>
              </w:rPr>
              <w:t xml:space="preserve">个月供应商</w:t>
            </w:r>
            <w:r>
              <w:rPr>
                <w:rFonts w:hint="eastAsia" w:ascii="宋体" w:hAnsi="宋体" w:eastAsia="宋体" w:cs="宋体"/>
                <w:b/>
                <w:bCs/>
                <w:color w:val="auto"/>
                <w:sz w:val="24"/>
                <w:szCs w:val="24"/>
                <w:highlight w:val="none"/>
                <w:lang w:val="en-US" w:eastAsia="zh-CN"/>
              </w:rPr>
              <w:t xml:space="preserve">或其子</w:t>
            </w:r>
            <w:r>
              <w:rPr>
                <w:rFonts w:hint="eastAsia" w:ascii="宋体" w:hAnsi="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公司</w:t>
            </w:r>
            <w:r>
              <w:rPr>
                <w:rFonts w:hint="eastAsia" w:ascii="宋体" w:hAnsi="宋体" w:cs="宋体"/>
                <w:b/>
                <w:bCs/>
                <w:color w:val="auto"/>
                <w:sz w:val="24"/>
                <w:szCs w:val="24"/>
              </w:rPr>
              <w:t xml:space="preserve">为其缴纳的社保证明】</w:t>
            </w:r>
            <w:r/>
          </w:p>
          <w:p>
            <w:pPr>
              <w:ind w:firstLine="24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t xml:space="preserve">项目组人员具有高级及以上职称的，且具有注册公用设备工程师（给水排水）或注册环保工程师的，每有一名得1分，最高得2分。</w:t>
            </w:r>
            <w:r/>
          </w:p>
          <w:p>
            <w:pPr>
              <w:ind w:firstLine="241"/>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rPr>
              <w:t xml:space="preserve">【须提供上述人员</w:t>
            </w:r>
            <w:r>
              <w:rPr>
                <w:rFonts w:hint="eastAsia" w:ascii="宋体" w:hAnsi="宋体" w:cs="宋体"/>
                <w:b/>
                <w:bCs/>
                <w:color w:val="auto"/>
                <w:sz w:val="24"/>
                <w:szCs w:val="24"/>
                <w:lang w:eastAsia="zh-CN"/>
              </w:rPr>
              <w:t xml:space="preserve">职称证明、相关证书</w:t>
            </w:r>
            <w:r>
              <w:rPr>
                <w:rFonts w:hint="eastAsia" w:ascii="宋体" w:hAnsi="宋体" w:cs="宋体"/>
                <w:b/>
                <w:bCs/>
                <w:color w:val="auto"/>
                <w:sz w:val="24"/>
                <w:szCs w:val="24"/>
              </w:rPr>
              <w:t xml:space="preserve">以及近</w:t>
            </w: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rPr>
              <w:t xml:space="preserve">个月</w:t>
            </w:r>
            <w:r>
              <w:rPr>
                <w:rFonts w:hint="eastAsia" w:ascii="宋体" w:hAnsi="宋体" w:cs="宋体"/>
                <w:b/>
                <w:bCs/>
                <w:color w:val="auto"/>
                <w:sz w:val="24"/>
                <w:szCs w:val="24"/>
                <w:lang w:eastAsia="zh-CN"/>
              </w:rPr>
              <w:t xml:space="preserve">内</w:t>
            </w:r>
            <w:r>
              <w:rPr>
                <w:rFonts w:hint="eastAsia" w:ascii="宋体" w:hAnsi="宋体" w:cs="宋体"/>
                <w:b/>
                <w:bCs/>
                <w:color w:val="auto"/>
                <w:sz w:val="24"/>
                <w:szCs w:val="24"/>
              </w:rPr>
              <w:t xml:space="preserve">(指202</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年</w:t>
            </w:r>
            <w:r>
              <w:rPr>
                <w:rFonts w:hint="eastAsia" w:ascii="宋体" w:hAnsi="宋体" w:cs="宋体"/>
                <w:b/>
                <w:bCs/>
                <w:color w:val="auto"/>
                <w:sz w:val="24"/>
                <w:szCs w:val="24"/>
                <w:lang w:val="en-US" w:eastAsia="zh-CN"/>
              </w:rPr>
              <w:t xml:space="preserve">6</w:t>
            </w:r>
            <w:r>
              <w:rPr>
                <w:rFonts w:hint="eastAsia" w:ascii="宋体" w:hAnsi="宋体" w:cs="宋体"/>
                <w:b/>
                <w:bCs/>
                <w:color w:val="auto"/>
                <w:sz w:val="24"/>
                <w:szCs w:val="24"/>
              </w:rPr>
              <w:t xml:space="preserve">月-2025年</w:t>
            </w:r>
            <w:r>
              <w:rPr>
                <w:rFonts w:hint="eastAsia" w:ascii="宋体" w:hAnsi="宋体" w:cs="宋体"/>
                <w:b/>
                <w:bCs/>
                <w:color w:val="auto"/>
                <w:sz w:val="24"/>
                <w:szCs w:val="24"/>
                <w:lang w:val="en-US" w:eastAsia="zh-CN"/>
              </w:rPr>
              <w:t xml:space="preserve">8</w:t>
            </w:r>
            <w:r>
              <w:rPr>
                <w:rFonts w:hint="eastAsia" w:ascii="宋体" w:hAnsi="宋体" w:cs="宋体"/>
                <w:b/>
                <w:bCs/>
                <w:color w:val="auto"/>
                <w:sz w:val="24"/>
                <w:szCs w:val="24"/>
              </w:rPr>
              <w:t xml:space="preserve">月)任意</w:t>
            </w:r>
            <w:r>
              <w:rPr>
                <w:rFonts w:hint="eastAsia" w:ascii="宋体" w:hAnsi="宋体" w:cs="宋体"/>
                <w:b/>
                <w:bCs/>
                <w:color w:val="auto"/>
                <w:sz w:val="24"/>
                <w:szCs w:val="24"/>
                <w:lang w:eastAsia="zh-CN"/>
              </w:rPr>
              <w:t xml:space="preserve">一</w:t>
            </w:r>
            <w:r>
              <w:rPr>
                <w:rFonts w:hint="eastAsia" w:ascii="宋体" w:hAnsi="宋体" w:cs="宋体"/>
                <w:b/>
                <w:bCs/>
                <w:color w:val="auto"/>
                <w:sz w:val="24"/>
                <w:szCs w:val="24"/>
              </w:rPr>
              <w:t xml:space="preserve">个月供应商</w:t>
            </w:r>
            <w:r>
              <w:rPr>
                <w:rFonts w:hint="eastAsia" w:ascii="宋体" w:hAnsi="宋体" w:eastAsia="宋体" w:cs="宋体"/>
                <w:b/>
                <w:bCs/>
                <w:color w:val="auto"/>
                <w:sz w:val="24"/>
                <w:szCs w:val="24"/>
                <w:highlight w:val="none"/>
                <w:lang w:val="en-US" w:eastAsia="zh-CN"/>
              </w:rPr>
              <w:t xml:space="preserve">或其子</w:t>
            </w:r>
            <w:r>
              <w:rPr>
                <w:rFonts w:hint="eastAsia" w:ascii="宋体" w:hAnsi="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公司</w:t>
            </w:r>
            <w:r>
              <w:rPr>
                <w:rFonts w:hint="eastAsia" w:ascii="宋体" w:hAnsi="宋体" w:cs="宋体"/>
                <w:b/>
                <w:bCs/>
                <w:color w:val="auto"/>
                <w:sz w:val="24"/>
                <w:szCs w:val="24"/>
              </w:rPr>
              <w:t xml:space="preserve">为其缴纳的社保证明】</w:t>
            </w:r>
            <w:r/>
          </w:p>
        </w:tc>
      </w:tr>
      <w:tr>
        <w:trPr>
          <w:cantSplit/>
          <w:gridAfter w:val="1"/>
          <w:jc w:val="center"/>
          <w:trHeight w:val="1364"/>
        </w:trPr>
        <w:tc>
          <w:tcPr>
            <w:tcBorders>
              <w:left w:val="single" w:color="auto" w:sz="4" w:space="0"/>
              <w:right w:val="single" w:color="auto" w:sz="4" w:space="0"/>
            </w:tcBorders>
            <w:tcW w:w="410" w:type="pct"/>
            <w:vAlign w:val="center"/>
            <w:vMerge w:val="continue"/>
            <w:textDirection w:val="lrTb"/>
            <w:noWrap w:val="false"/>
          </w:tcPr>
          <w:p>
            <w:pPr>
              <w:jc w:val="left"/>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400" w:lineRule="exact"/>
              <w:tabs>
                <w:tab w:val="left" w:pos="420" w:leader="none"/>
                <w:tab w:val="left" w:pos="54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供应商实力</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numPr>
                <w:ilvl w:val="0"/>
                <w:numId w:val="7"/>
              </w:numPr>
              <w:ind w:firstLine="24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供应商具有质量管理体系认证证书、环境管理体系认证证书、职业健康安全体系认证证书、知识产权管理体系认证证书的，每有一项得0.5分，最多得2分。</w:t>
            </w:r>
            <w:r/>
          </w:p>
          <w:p>
            <w:pPr>
              <w:numPr>
                <w:ilvl w:val="0"/>
                <w:numId w:val="0"/>
              </w:numPr>
              <w:ind w:firstLine="241"/>
              <w:keepLines w:val="0"/>
              <w:keepNext w:val="0"/>
              <w:pageBreakBefore w:val="0"/>
              <w:spacing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【须提供</w:t>
            </w:r>
            <w:r>
              <w:rPr>
                <w:rFonts w:hint="eastAsia" w:ascii="宋体" w:hAnsi="宋体" w:eastAsia="宋体" w:cs="宋体"/>
                <w:b/>
                <w:bCs/>
                <w:color w:val="auto"/>
                <w:sz w:val="24"/>
                <w:szCs w:val="24"/>
                <w:lang w:eastAsia="zh-CN"/>
              </w:rPr>
              <w:t xml:space="preserve">有效期内的</w:t>
            </w:r>
            <w:r>
              <w:rPr>
                <w:rFonts w:hint="eastAsia" w:ascii="宋体" w:hAnsi="宋体" w:eastAsia="宋体" w:cs="宋体"/>
                <w:b/>
                <w:bCs/>
                <w:color w:val="auto"/>
                <w:sz w:val="24"/>
                <w:szCs w:val="24"/>
                <w:lang w:val="en-US" w:eastAsia="zh-CN"/>
              </w:rPr>
              <w:t xml:space="preserve">认证证书</w:t>
            </w:r>
            <w:r>
              <w:rPr>
                <w:rFonts w:hint="eastAsia" w:ascii="宋体" w:hAnsi="宋体" w:eastAsia="宋体" w:cs="宋体"/>
                <w:b/>
                <w:bCs/>
                <w:color w:val="auto"/>
                <w:sz w:val="24"/>
                <w:szCs w:val="24"/>
              </w:rPr>
              <w:t xml:space="preserve">】</w:t>
            </w:r>
            <w:r/>
          </w:p>
          <w:p>
            <w:pPr>
              <w:numPr>
                <w:ilvl w:val="0"/>
                <w:numId w:val="7"/>
              </w:numPr>
              <w:ind w:firstLine="24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供应商具有区域流域环境治理领域省级及以上</w:t>
            </w:r>
            <w:bookmarkStart w:id="30" w:name="OLE_LINK2"/>
            <w:r>
              <w:rPr>
                <w:rFonts w:hint="eastAsia" w:ascii="宋体" w:hAnsi="宋体" w:eastAsia="宋体" w:cs="宋体"/>
                <w:b w:val="0"/>
                <w:bCs w:val="0"/>
                <w:color w:val="auto"/>
                <w:sz w:val="24"/>
                <w:szCs w:val="24"/>
                <w:highlight w:val="none"/>
                <w:lang w:val="en-US" w:eastAsia="zh-CN"/>
              </w:rPr>
              <w:t xml:space="preserve">工程技术研究中心</w:t>
            </w:r>
            <w:bookmarkEnd w:id="30"/>
            <w:r>
              <w:rPr>
                <w:rFonts w:hint="eastAsia" w:ascii="宋体" w:hAnsi="宋体" w:eastAsia="宋体" w:cs="宋体"/>
                <w:b w:val="0"/>
                <w:bCs w:val="0"/>
                <w:color w:val="auto"/>
                <w:sz w:val="24"/>
                <w:szCs w:val="24"/>
                <w:highlight w:val="none"/>
                <w:lang w:val="en-US" w:eastAsia="zh-CN"/>
              </w:rPr>
              <w:t xml:space="preserve">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p>
          <w:p>
            <w:pPr>
              <w:numPr>
                <w:ilvl w:val="0"/>
                <w:numId w:val="0"/>
              </w:numPr>
              <w:ind w:firstLine="241"/>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rPr>
              <w:t xml:space="preserve">【须提供</w:t>
            </w:r>
            <w:r>
              <w:rPr>
                <w:rFonts w:hint="eastAsia" w:ascii="宋体" w:hAnsi="宋体" w:eastAsia="宋体" w:cs="宋体"/>
                <w:b/>
                <w:bCs/>
                <w:color w:val="auto"/>
                <w:sz w:val="24"/>
                <w:szCs w:val="24"/>
                <w:lang w:eastAsia="zh-CN"/>
              </w:rPr>
              <w:t xml:space="preserve">相关证明材料</w:t>
            </w:r>
            <w:r>
              <w:rPr>
                <w:rFonts w:hint="eastAsia" w:ascii="宋体" w:hAnsi="宋体" w:eastAsia="宋体" w:cs="宋体"/>
                <w:b/>
                <w:bCs/>
                <w:color w:val="auto"/>
                <w:sz w:val="24"/>
                <w:szCs w:val="24"/>
              </w:rPr>
              <w:t xml:space="preserve">】</w:t>
            </w:r>
            <w:r/>
          </w:p>
          <w:p>
            <w:pPr>
              <w:numPr>
                <w:ilvl w:val="0"/>
                <w:numId w:val="7"/>
              </w:numPr>
              <w:ind w:firstLine="24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供应商具有环境工程专项（同时具备水污染防治工程和污染修复工程）设计资质的的得2分，没有不得分。</w:t>
            </w:r>
            <w:r/>
          </w:p>
          <w:p>
            <w:pPr>
              <w:numPr>
                <w:ilvl w:val="0"/>
                <w:numId w:val="0"/>
              </w:numPr>
              <w:ind w:firstLine="241"/>
              <w:keepLines w:val="0"/>
              <w:keepNext w:val="0"/>
              <w:pageBreakBefore w:val="0"/>
              <w:spacing w:line="40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【须提供</w:t>
            </w:r>
            <w:r>
              <w:rPr>
                <w:rFonts w:hint="eastAsia" w:ascii="宋体" w:hAnsi="宋体" w:eastAsia="宋体" w:cs="宋体"/>
                <w:b/>
                <w:bCs/>
                <w:color w:val="auto"/>
                <w:sz w:val="24"/>
                <w:szCs w:val="24"/>
                <w:lang w:eastAsia="zh-CN"/>
              </w:rPr>
              <w:t xml:space="preserve">有效期内的</w:t>
            </w:r>
            <w:r>
              <w:rPr>
                <w:rFonts w:hint="eastAsia" w:ascii="宋体" w:hAnsi="宋体" w:eastAsia="宋体" w:cs="宋体"/>
                <w:b/>
                <w:bCs/>
                <w:color w:val="auto"/>
                <w:sz w:val="24"/>
                <w:szCs w:val="24"/>
                <w:lang w:val="en-US" w:eastAsia="zh-CN"/>
              </w:rPr>
              <w:t xml:space="preserve">资质证书</w:t>
            </w:r>
            <w:r>
              <w:rPr>
                <w:rFonts w:hint="eastAsia" w:ascii="宋体" w:hAnsi="宋体" w:eastAsia="宋体" w:cs="宋体"/>
                <w:b/>
                <w:bCs/>
                <w:color w:val="auto"/>
                <w:sz w:val="24"/>
                <w:szCs w:val="24"/>
              </w:rPr>
              <w:t xml:space="preserve">】</w:t>
            </w:r>
            <w:r/>
          </w:p>
          <w:p>
            <w:pPr>
              <w:numPr>
                <w:ilvl w:val="0"/>
                <w:numId w:val="7"/>
              </w:numPr>
              <w:ind w:firstLine="24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供应商具有CMA检验检测机构资质认定证书的得2分。</w:t>
            </w:r>
            <w:r/>
          </w:p>
          <w:p>
            <w:pPr>
              <w:numPr>
                <w:ilvl w:val="0"/>
                <w:numId w:val="0"/>
              </w:numPr>
              <w:ind w:firstLine="241"/>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rPr>
              <w:t xml:space="preserve">【须提供</w:t>
            </w:r>
            <w:r>
              <w:rPr>
                <w:rFonts w:hint="eastAsia" w:ascii="宋体" w:hAnsi="宋体" w:eastAsia="宋体" w:cs="宋体"/>
                <w:b/>
                <w:bCs/>
                <w:color w:val="auto"/>
                <w:sz w:val="24"/>
                <w:szCs w:val="24"/>
                <w:lang w:eastAsia="zh-CN"/>
              </w:rPr>
              <w:t xml:space="preserve">有效期内的</w:t>
            </w:r>
            <w:r>
              <w:rPr>
                <w:rFonts w:hint="eastAsia" w:ascii="宋体" w:hAnsi="宋体" w:eastAsia="宋体" w:cs="宋体"/>
                <w:b/>
                <w:bCs/>
                <w:color w:val="auto"/>
                <w:sz w:val="24"/>
                <w:szCs w:val="24"/>
                <w:lang w:val="en-US" w:eastAsia="zh-CN"/>
              </w:rPr>
              <w:t xml:space="preserve">认定证书</w:t>
            </w:r>
            <w:r>
              <w:rPr>
                <w:rFonts w:hint="eastAsia" w:ascii="宋体" w:hAnsi="宋体" w:eastAsia="宋体" w:cs="宋体"/>
                <w:b/>
                <w:bCs/>
                <w:color w:val="auto"/>
                <w:sz w:val="24"/>
                <w:szCs w:val="24"/>
              </w:rPr>
              <w:t xml:space="preserve">】</w:t>
            </w:r>
            <w:r/>
          </w:p>
        </w:tc>
      </w:tr>
      <w:tr>
        <w:trPr>
          <w:cantSplit/>
          <w:gridAfter w:val="1"/>
          <w:jc w:val="center"/>
          <w:trHeight w:val="890"/>
        </w:trPr>
        <w:tc>
          <w:tcPr>
            <w:tcBorders>
              <w:left w:val="single" w:color="auto" w:sz="4" w:space="0"/>
              <w:right w:val="single" w:color="auto" w:sz="4" w:space="0"/>
            </w:tcBorders>
            <w:tcW w:w="410" w:type="pct"/>
            <w:vAlign w:val="center"/>
            <w:vMerge w:val="continue"/>
            <w:textDirection w:val="lrTb"/>
            <w:noWrap w:val="false"/>
          </w:tcPr>
          <w:p>
            <w:pPr>
              <w:jc w:val="left"/>
              <w:widowControl/>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400" w:lineRule="exact"/>
              <w:tabs>
                <w:tab w:val="left" w:pos="420" w:leader="none"/>
                <w:tab w:val="left" w:pos="54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类似业绩</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3335" w:type="pct"/>
            <w:vAlign w:val="center"/>
            <w:textDirection w:val="lrTb"/>
            <w:noWrap w:val="false"/>
          </w:tcPr>
          <w:p>
            <w:pPr>
              <w:ind w:firstLine="240"/>
              <w:keepLines w:val="0"/>
              <w:keepNext w:val="0"/>
              <w:pageBreakBefore w:val="0"/>
              <w:spacing w:line="400" w:lineRule="exact"/>
              <w:widowControl w:val="off"/>
              <w:rPr>
                <w:rFonts w:ascii="宋体" w:hAnsi="宋体" w:cs="宋体"/>
                <w:color w:val="auto"/>
                <w:sz w:val="24"/>
                <w:szCs w:val="24"/>
              </w:rPr>
            </w:pPr>
            <w:r>
              <w:rPr>
                <w:rFonts w:hint="eastAsia" w:ascii="宋体" w:hAnsi="宋体" w:cs="宋体"/>
                <w:color w:val="auto"/>
                <w:sz w:val="24"/>
                <w:szCs w:val="24"/>
              </w:rPr>
              <w:t xml:space="preserve">供应商202</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月至今（以合同签订日期为准），承担过类似项目的，有1</w:t>
            </w:r>
            <w:r>
              <w:rPr>
                <w:rFonts w:hint="eastAsia" w:ascii="宋体" w:hAnsi="宋体" w:cs="宋体"/>
                <w:color w:val="auto"/>
                <w:sz w:val="24"/>
                <w:szCs w:val="24"/>
                <w:lang w:eastAsia="zh-CN"/>
              </w:rPr>
              <w:t xml:space="preserve">项</w:t>
            </w:r>
            <w:r>
              <w:rPr>
                <w:rFonts w:hint="eastAsia" w:ascii="宋体" w:hAnsi="宋体" w:cs="宋体"/>
                <w:color w:val="auto"/>
                <w:sz w:val="24"/>
                <w:szCs w:val="24"/>
              </w:rPr>
              <w:t xml:space="preserve">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分，最高得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ind w:firstLine="241"/>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b/>
                <w:bCs/>
                <w:color w:val="auto"/>
                <w:sz w:val="24"/>
                <w:szCs w:val="24"/>
              </w:rPr>
              <w:t xml:space="preserve">【须提供项目合同或协议书】</w:t>
            </w:r>
            <w:r/>
          </w:p>
        </w:tc>
      </w:tr>
      <w:tr>
        <w:trPr>
          <w:cantSplit/>
          <w:jc w:val="center"/>
          <w:trHeight w:val="1134"/>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rPr>
            </w:pPr>
            <w:r>
              <w:rPr>
                <w:rFonts w:hint="eastAsia" w:ascii="宋体" w:hAnsi="宋体" w:cs="宋体"/>
                <w:color w:val="auto"/>
                <w:sz w:val="24"/>
                <w:szCs w:val="24"/>
              </w:rPr>
              <w:t xml:space="preserve">价格部分</w:t>
            </w:r>
            <w:r/>
          </w:p>
        </w:tc>
        <w:tc>
          <w:tcPr>
            <w:tcBorders>
              <w:top w:val="single" w:color="auto" w:sz="4" w:space="0"/>
              <w:left w:val="single" w:color="auto" w:sz="4" w:space="0"/>
              <w:right w:val="single" w:color="auto" w:sz="4" w:space="0"/>
            </w:tcBorders>
            <w:tcW w:w="414" w:type="pct"/>
            <w:vAlign w:val="center"/>
            <w:textDirection w:val="lrTb"/>
            <w:noWrap w:val="false"/>
          </w:tcPr>
          <w:p>
            <w:pPr>
              <w:jc w:val="center"/>
              <w:spacing w:line="400" w:lineRule="exact"/>
              <w:tabs>
                <w:tab w:val="left" w:pos="420" w:leader="none"/>
                <w:tab w:val="left" w:pos="540" w:leader="none"/>
              </w:tabs>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磋商</w:t>
            </w:r>
            <w:r/>
          </w:p>
          <w:p>
            <w:pPr>
              <w:jc w:val="center"/>
              <w:spacing w:line="400" w:lineRule="exact"/>
              <w:tabs>
                <w:tab w:val="left" w:pos="420" w:leader="none"/>
                <w:tab w:val="left" w:pos="54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报价</w:t>
            </w:r>
            <w:r/>
          </w:p>
        </w:tc>
        <w:tc>
          <w:tcPr>
            <w:tcBorders>
              <w:top w:val="single" w:color="auto" w:sz="4" w:space="0"/>
              <w:left w:val="single" w:color="auto" w:sz="4" w:space="0"/>
              <w:right w:val="single" w:color="auto" w:sz="4" w:space="0"/>
            </w:tcBorders>
            <w:tcW w:w="416" w:type="pct"/>
            <w:vAlign w:val="center"/>
            <w:textDirection w:val="lrTb"/>
            <w:noWrap w:val="false"/>
          </w:tcPr>
          <w:p>
            <w:pPr>
              <w:jc w:val="center"/>
              <w:spacing w:line="400" w:lineRule="exact"/>
              <w:tabs>
                <w:tab w:val="left" w:pos="420" w:leader="none"/>
                <w:tab w:val="left" w:pos="5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0分</w:t>
            </w:r>
            <w:r/>
          </w:p>
        </w:tc>
        <w:tc>
          <w:tcPr>
            <w:gridSpan w:val="2"/>
            <w:tcBorders>
              <w:top w:val="single" w:color="auto" w:sz="4" w:space="0"/>
              <w:left w:val="single" w:color="auto" w:sz="4" w:space="0"/>
              <w:bottom w:val="single" w:color="auto" w:sz="4" w:space="0"/>
              <w:right w:val="single" w:color="auto" w:sz="4" w:space="0"/>
            </w:tcBorders>
            <w:tcW w:w="3342" w:type="pct"/>
            <w:vAlign w:val="center"/>
            <w:textDirection w:val="lrTb"/>
            <w:noWrap w:val="false"/>
          </w:tcPr>
          <w:p>
            <w:pPr>
              <w:ind w:firstLine="24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价格分采用低价优先法，即满足磋商文件要求且最后报价最低的供应商的价格为磋商基准价，其价格分为满分。其他供应商的价格分统一按照下列公式计算：</w:t>
            </w:r>
            <w:r/>
          </w:p>
          <w:p>
            <w:pPr>
              <w:ind w:firstLine="24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磋商报价得分=（磋商基准价/最后磋商报价）×20</w:t>
            </w:r>
            <w:r/>
          </w:p>
          <w:p>
            <w:pPr>
              <w:ind w:firstLine="240"/>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注：因算术修正和落实政府采购政策进行价格调整的，以调整后的价格计算基准价和磋商报价。</w:t>
            </w:r>
            <w:r/>
          </w:p>
        </w:tc>
      </w:tr>
    </w:tbl>
    <w:p>
      <w:pPr>
        <w:jc w:val="left"/>
        <w:keepLines w:val="0"/>
        <w:keepNext w:val="0"/>
        <w:pageBreakBefore w:val="0"/>
        <w:spacing w:line="400" w:lineRule="exact"/>
        <w:widowControl w:val="off"/>
        <w:rPr>
          <w:rFonts w:hint="eastAsia" w:ascii="宋体" w:hAnsi="宋体"/>
          <w:b/>
          <w:bCs/>
          <w:color w:val="auto"/>
          <w:sz w:val="24"/>
          <w:szCs w:val="24"/>
        </w:rPr>
      </w:pPr>
      <w:r>
        <w:rPr>
          <w:rFonts w:hint="eastAsia" w:ascii="宋体" w:hAnsi="宋体"/>
          <w:b/>
          <w:bCs/>
          <w:color w:val="auto"/>
          <w:sz w:val="24"/>
          <w:szCs w:val="24"/>
        </w:rPr>
        <w:t xml:space="preserve">备注：</w:t>
      </w:r>
      <w:r/>
    </w:p>
    <w:p>
      <w:pPr>
        <w:ind w:firstLine="482"/>
        <w:jc w:val="left"/>
        <w:keepLines w:val="0"/>
        <w:keepNext w:val="0"/>
        <w:pageBreakBefore w:val="0"/>
        <w:spacing w:line="400" w:lineRule="exact"/>
        <w:widowControl w:val="off"/>
        <w:rPr>
          <w:rFonts w:hint="eastAsia" w:ascii="宋体" w:hAnsi="宋体"/>
          <w:b/>
          <w:bCs/>
          <w:color w:val="auto"/>
          <w:sz w:val="24"/>
          <w:szCs w:val="24"/>
        </w:rPr>
      </w:pPr>
      <w:r>
        <w:rPr>
          <w:rFonts w:hint="eastAsia" w:ascii="宋体" w:hAnsi="宋体"/>
          <w:b/>
          <w:bCs/>
          <w:color w:val="auto"/>
          <w:sz w:val="24"/>
          <w:szCs w:val="24"/>
        </w:rPr>
        <w:t xml:space="preserve">1、评分过程中如出现小数点后三位，采用四舍五入法，最终保留两位小数；</w:t>
      </w:r>
      <w:r/>
    </w:p>
    <w:p>
      <w:pPr>
        <w:numPr>
          <w:ilvl w:val="0"/>
          <w:numId w:val="0"/>
        </w:numPr>
        <w:ind w:firstLine="482"/>
        <w:jc w:val="left"/>
        <w:keepLines w:val="0"/>
        <w:keepNext w:val="0"/>
        <w:pageBreakBefore w:val="0"/>
        <w:spacing w:line="400" w:lineRule="exact"/>
        <w:widowControl w:val="off"/>
        <w:rPr>
          <w:rFonts w:hint="eastAsia" w:ascii="宋体" w:hAnsi="宋体"/>
          <w:b/>
          <w:bCs/>
          <w:color w:val="auto"/>
          <w:sz w:val="24"/>
          <w:szCs w:val="24"/>
          <w:highlight w:val="none"/>
        </w:rPr>
      </w:pPr>
      <w:r>
        <w:rPr>
          <w:rFonts w:hint="eastAsia" w:ascii="宋体" w:hAnsi="宋体"/>
          <w:b/>
          <w:bCs/>
          <w:color w:val="auto"/>
          <w:sz w:val="24"/>
          <w:szCs w:val="24"/>
        </w:rPr>
        <w:t xml:space="preserve">2、响应文件中必须提供以上相关证明材料</w:t>
      </w:r>
      <w:r>
        <w:rPr>
          <w:rFonts w:hint="eastAsia" w:ascii="宋体" w:hAnsi="宋体"/>
          <w:b/>
          <w:bCs/>
          <w:color w:val="auto"/>
          <w:sz w:val="24"/>
          <w:szCs w:val="24"/>
          <w:lang w:val="en-US" w:eastAsia="zh-CN"/>
        </w:rPr>
        <w:t xml:space="preserve">扫描件并加盖供应商公章，</w:t>
      </w:r>
      <w:r>
        <w:rPr>
          <w:rFonts w:hint="eastAsia" w:ascii="宋体" w:hAnsi="宋体"/>
          <w:b/>
          <w:bCs/>
          <w:color w:val="auto"/>
          <w:sz w:val="24"/>
          <w:szCs w:val="24"/>
        </w:rPr>
        <w:t xml:space="preserve">否则</w:t>
      </w:r>
      <w:r>
        <w:rPr>
          <w:rFonts w:hint="eastAsia" w:ascii="宋体" w:hAnsi="宋体"/>
          <w:b/>
          <w:bCs/>
          <w:color w:val="auto"/>
          <w:sz w:val="24"/>
          <w:szCs w:val="24"/>
          <w:lang w:val="en-US" w:eastAsia="zh-CN"/>
        </w:rPr>
        <w:t xml:space="preserve">相关评分</w:t>
      </w:r>
      <w:r>
        <w:rPr>
          <w:rFonts w:hint="eastAsia" w:ascii="宋体" w:hAnsi="宋体"/>
          <w:b/>
          <w:bCs/>
          <w:color w:val="auto"/>
          <w:sz w:val="24"/>
          <w:szCs w:val="24"/>
        </w:rPr>
        <w:t xml:space="preserve">不予加分</w:t>
      </w:r>
      <w:r>
        <w:rPr>
          <w:rFonts w:hint="eastAsia" w:ascii="宋体" w:hAnsi="宋体"/>
          <w:b/>
          <w:bCs/>
          <w:color w:val="auto"/>
          <w:sz w:val="24"/>
          <w:szCs w:val="24"/>
          <w:highlight w:val="none"/>
        </w:rPr>
        <w:t xml:space="preserve">。</w:t>
      </w:r>
      <w:r/>
    </w:p>
    <w:p>
      <w:pPr>
        <w:pStyle w:val="956"/>
        <w:keepLines w:val="0"/>
        <w:keepNext w:val="0"/>
        <w:pageBreakBefore w:val="0"/>
        <w:spacing w:line="360" w:lineRule="auto"/>
        <w:widowControl/>
        <w:rPr>
          <w:rFonts w:hint="eastAsia" w:ascii="宋体" w:hAnsi="宋体" w:eastAsia="宋体" w:cs="宋体"/>
          <w:b/>
          <w:bCs/>
          <w:color w:val="auto"/>
          <w:sz w:val="24"/>
          <w:szCs w:val="28"/>
        </w:rPr>
      </w:pPr>
      <w:r>
        <w:rPr>
          <w:rFonts w:hint="eastAsia" w:ascii="宋体" w:hAnsi="宋体" w:eastAsia="宋体"/>
          <w:b/>
          <w:bCs/>
          <w:color w:val="auto"/>
          <w:sz w:val="24"/>
          <w:szCs w:val="24"/>
          <w:highlight w:val="none"/>
          <w:lang w:val="en-US" w:eastAsia="zh-CN"/>
        </w:rPr>
        <w:t xml:space="preserve">3</w:t>
      </w:r>
      <w:r>
        <w:rPr>
          <w:rFonts w:hint="eastAsia" w:ascii="宋体" w:hAnsi="宋体" w:eastAsia="宋体" w:cs="宋体"/>
          <w:b/>
          <w:bCs/>
          <w:color w:val="auto"/>
          <w:sz w:val="24"/>
          <w:szCs w:val="28"/>
        </w:rPr>
        <w:t xml:space="preserve">、政府采购评审中出现下列情形之一的，</w:t>
      </w:r>
      <w:r>
        <w:rPr>
          <w:rFonts w:hint="eastAsia" w:hAnsi="宋体" w:eastAsia="宋体" w:cs="宋体"/>
          <w:b/>
          <w:bCs/>
          <w:color w:val="auto"/>
          <w:sz w:val="24"/>
          <w:szCs w:val="28"/>
          <w:lang w:eastAsia="zh-CN"/>
        </w:rPr>
        <w:t xml:space="preserve">磋商小组</w:t>
      </w:r>
      <w:r>
        <w:rPr>
          <w:rFonts w:hint="eastAsia" w:ascii="宋体" w:hAnsi="宋体" w:eastAsia="宋体" w:cs="宋体"/>
          <w:b/>
          <w:bCs/>
          <w:color w:val="auto"/>
          <w:sz w:val="24"/>
          <w:szCs w:val="28"/>
        </w:rPr>
        <w:t xml:space="preserve">将启动异常低价投标审查程序：</w:t>
      </w:r>
      <w:r/>
    </w:p>
    <w:p>
      <w:pPr>
        <w:pStyle w:val="956"/>
        <w:ind w:left="479" w:firstLine="0"/>
        <w:keepLines w:val="0"/>
        <w:keepNext w:val="0"/>
        <w:pageBreakBefore w:val="0"/>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①投标（响应）报价低于采购项目预算50%的，即投标（响应）报价&lt;采购项目预算×50%；</w:t>
      </w:r>
      <w:r/>
    </w:p>
    <w:p>
      <w:pPr>
        <w:pStyle w:val="956"/>
        <w:keepLines w:val="0"/>
        <w:keepNext w:val="0"/>
        <w:pageBreakBefore w:val="0"/>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②投标（响应）报价低于采购项目最高限价45%的，即投标（响应）报价&lt;采购项目最高限价×45%；</w:t>
      </w:r>
      <w:r/>
    </w:p>
    <w:p>
      <w:pPr>
        <w:pStyle w:val="956"/>
        <w:keepLines w:val="0"/>
        <w:keepNext w:val="0"/>
        <w:pageBreakBefore w:val="0"/>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③磋商小组认定的供应商报价过低、有可能影响产品质量或者不能诚信履约的其他情形。</w:t>
      </w:r>
      <w:r/>
    </w:p>
    <w:p>
      <w:pPr>
        <w:pStyle w:val="956"/>
        <w:keepLines w:val="0"/>
        <w:keepNext w:val="0"/>
        <w:pageBreakBefore w:val="0"/>
        <w:spacing w:line="360" w:lineRule="auto"/>
        <w:widowControl/>
        <w:rPr>
          <w:rFonts w:hint="eastAsia" w:ascii="宋体" w:hAnsi="宋体" w:eastAsia="宋体" w:cs="宋体"/>
          <w:color w:val="auto"/>
          <w:sz w:val="24"/>
          <w:szCs w:val="28"/>
        </w:rPr>
        <w:sectPr>
          <w:footnotePr/>
          <w:endnotePr/>
          <w:type w:val="nextPage"/>
          <w:pgSz w:w="11906" w:h="16838" w:orient="portrait"/>
          <w:pgMar w:top="1134" w:right="1134" w:bottom="1134" w:left="1134" w:header="851" w:footer="850" w:gutter="0"/>
          <w:cols w:num="1" w:sep="0" w:space="720" w:equalWidth="1"/>
          <w:docGrid w:linePitch="360"/>
        </w:sectPr>
      </w:pPr>
      <w:r>
        <w:rPr>
          <w:rFonts w:hint="eastAsia" w:ascii="宋体" w:hAnsi="宋体" w:eastAsia="宋体" w:cs="宋体"/>
          <w:color w:val="auto"/>
          <w:sz w:val="24"/>
          <w:szCs w:val="28"/>
        </w:rPr>
        <w:t xml:space="preserve">启动异常低价投标（响应）审查后，磋商小组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numPr>
          <w:ilvl w:val="0"/>
          <w:numId w:val="0"/>
        </w:numPr>
        <w:jc w:val="center"/>
        <w:keepLines w:val="0"/>
        <w:keepNext w:val="0"/>
        <w:pageBreakBefore w:val="0"/>
        <w:spacing w:line="360" w:lineRule="auto"/>
        <w:widowControl w:val="off"/>
        <w:rPr>
          <w:rFonts w:hint="eastAsia" w:ascii="黑体" w:hAnsi="黑体" w:eastAsia="黑体"/>
          <w:color w:val="auto"/>
          <w:sz w:val="28"/>
          <w:highlight w:val="none"/>
        </w:rPr>
        <w:outlineLvl w:val="0"/>
      </w:pPr>
      <w:r/>
      <w:bookmarkStart w:id="31" w:name="_Toc28152"/>
      <w:r>
        <w:rPr>
          <w:rFonts w:hint="eastAsia" w:ascii="黑体" w:hAnsi="黑体" w:eastAsia="黑体"/>
          <w:color w:val="auto"/>
          <w:sz w:val="28"/>
          <w:highlight w:val="none"/>
        </w:rPr>
        <w:t xml:space="preserve">第五章 政府采购合同（格式）</w:t>
      </w:r>
      <w:bookmarkEnd w:id="23"/>
      <w:r/>
      <w:bookmarkEnd w:id="24"/>
      <w:r/>
      <w:bookmarkEnd w:id="31"/>
      <w:r/>
      <w:r/>
    </w:p>
    <w:p>
      <w:pPr>
        <w:pStyle w:val="957"/>
        <w:ind w:firstLine="0"/>
        <w:jc w:val="right"/>
        <w:rPr>
          <w:rFonts w:hint="eastAsia" w:hAnsi="宋体" w:cs="宋体"/>
          <w:b/>
          <w:color w:val="auto"/>
          <w:szCs w:val="24"/>
          <w:highlight w:val="none"/>
        </w:rPr>
      </w:pPr>
      <w:r>
        <w:rPr>
          <w:rFonts w:hint="eastAsia" w:hAnsi="宋体" w:cs="宋体"/>
          <w:b/>
          <w:color w:val="auto"/>
          <w:szCs w:val="24"/>
          <w:highlight w:val="none"/>
        </w:rPr>
      </w:r>
      <w:r/>
    </w:p>
    <w:p>
      <w:pPr>
        <w:pStyle w:val="957"/>
        <w:ind w:firstLine="0"/>
        <w:jc w:val="right"/>
        <w:rPr>
          <w:rFonts w:hint="eastAsia" w:hAnsi="宋体" w:eastAsia="宋体" w:cs="宋体"/>
          <w:b/>
          <w:color w:val="auto"/>
          <w:sz w:val="28"/>
          <w:szCs w:val="24"/>
          <w:highlight w:val="none"/>
          <w:lang w:val="en-US" w:eastAsia="zh-CN"/>
        </w:rPr>
      </w:pPr>
      <w:r>
        <w:rPr>
          <w:rFonts w:hint="eastAsia" w:hAnsi="宋体" w:cs="宋体"/>
          <w:b/>
          <w:color w:val="auto"/>
          <w:szCs w:val="24"/>
          <w:highlight w:val="none"/>
        </w:rPr>
        <w:t xml:space="preserve">政府采购计划号：</w:t>
      </w:r>
      <w:r>
        <w:rPr>
          <w:rFonts w:hint="eastAsia" w:hAnsi="宋体" w:cs="宋体"/>
          <w:b/>
          <w:color w:val="auto"/>
          <w:szCs w:val="24"/>
          <w:highlight w:val="none"/>
          <w:lang w:val="en-US" w:eastAsia="zh-CN"/>
        </w:rPr>
        <w:t xml:space="preserve">JSZCLS-320282-202543230</w:t>
      </w:r>
      <w:bookmarkStart w:id="214" w:name="_GoBack"/>
      <w:r/>
      <w:bookmarkEnd w:id="214"/>
      <w:r/>
      <w:r/>
    </w:p>
    <w:p>
      <w:pPr>
        <w:pStyle w:val="957"/>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957"/>
        <w:ind w:firstLine="0"/>
        <w:jc w:val="right"/>
        <w:rPr>
          <w:rFonts w:hint="eastAsia" w:hAnsi="宋体" w:cs="宋体"/>
          <w:color w:val="auto"/>
          <w:szCs w:val="24"/>
          <w:highlight w:val="none"/>
        </w:rPr>
      </w:pPr>
      <w:r>
        <w:rPr>
          <w:rFonts w:hint="eastAsia" w:hAnsi="宋体" w:cs="宋体"/>
          <w:color w:val="auto"/>
          <w:szCs w:val="24"/>
          <w:highlight w:val="none"/>
        </w:rPr>
      </w:r>
      <w:r/>
    </w:p>
    <w:p>
      <w:pPr>
        <w:pStyle w:val="957"/>
        <w:ind w:firstLine="0"/>
        <w:rPr>
          <w:rFonts w:hint="eastAsia" w:hAnsi="宋体" w:cs="宋体"/>
          <w:color w:val="auto"/>
          <w:szCs w:val="24"/>
          <w:highlight w:val="none"/>
        </w:rPr>
      </w:pPr>
      <w:r>
        <w:rPr>
          <w:rFonts w:hint="eastAsia" w:hAnsi="宋体" w:cs="宋体"/>
          <w:color w:val="auto"/>
          <w:szCs w:val="24"/>
          <w:highlight w:val="none"/>
        </w:rPr>
      </w:r>
      <w:r/>
    </w:p>
    <w:p>
      <w:pPr>
        <w:pStyle w:val="957"/>
        <w:ind w:firstLine="0"/>
        <w:rPr>
          <w:rFonts w:hint="eastAsia" w:hAnsi="宋体" w:cs="宋体"/>
          <w:color w:val="auto"/>
          <w:szCs w:val="24"/>
          <w:highlight w:val="none"/>
        </w:rPr>
      </w:pPr>
      <w:r>
        <w:rPr>
          <w:rFonts w:hint="eastAsia" w:hAnsi="宋体" w:cs="宋体"/>
          <w:color w:val="auto"/>
          <w:szCs w:val="24"/>
          <w:highlight w:val="none"/>
        </w:rPr>
      </w:r>
      <w:r/>
    </w:p>
    <w:p>
      <w:pPr>
        <w:pStyle w:val="957"/>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957"/>
        <w:ind w:firstLine="0"/>
        <w:rPr>
          <w:rFonts w:hint="eastAsia" w:hAnsi="宋体" w:cs="宋体"/>
          <w:color w:val="auto"/>
          <w:szCs w:val="24"/>
          <w:highlight w:val="none"/>
        </w:rPr>
      </w:pPr>
      <w:r>
        <w:rPr>
          <w:rFonts w:hint="eastAsia" w:hAnsi="宋体" w:cs="宋体"/>
          <w:color w:val="auto"/>
          <w:szCs w:val="24"/>
          <w:highlight w:val="none"/>
        </w:rPr>
      </w:r>
      <w:r/>
    </w:p>
    <w:p>
      <w:pPr>
        <w:pStyle w:val="957"/>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960"/>
        <w:keepLines w:val="0"/>
        <w:keepNext w:val="0"/>
        <w:pageBreakBefore w:val="0"/>
        <w:spacing w:line="22" w:lineRule="atLeas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958"/>
        <w:ind w:firstLine="960"/>
        <w:keepLines w:val="0"/>
        <w:keepNext w:val="0"/>
        <w:pageBreakBefore w:val="0"/>
        <w:spacing w:line="22" w:lineRule="atLeas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8"/>
        <w:ind w:firstLine="960"/>
        <w:keepLines w:val="0"/>
        <w:keepNext w:val="0"/>
        <w:pageBreakBefore w:val="0"/>
        <w:spacing w:line="22" w:lineRule="atLeast"/>
        <w:widowControl w:val="off"/>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default" w:ascii="宋体" w:hAnsi="宋体" w:eastAsia="宋体" w:cs="宋体"/>
          <w:bCs/>
          <w:color w:val="auto"/>
          <w:highlight w:val="none"/>
          <w:u w:val="single"/>
          <w:lang w:val="en-US"/>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lang w:eastAsia="zh-CN"/>
        </w:rPr>
        <w:t xml:space="preserve">JSZC-320282-JSXY-C2025-0009</w:t>
      </w:r>
      <w:r>
        <w:rPr>
          <w:rFonts w:hint="default" w:ascii="宋体" w:hAnsi="宋体" w:eastAsia="宋体" w:cs="宋体"/>
          <w:bCs/>
          <w:color w:val="auto"/>
          <w:highlight w:val="none"/>
          <w:u w:val="single"/>
          <w:lang w:val="en-US"/>
        </w:rPr>
        <w:t xml:space="preserve">  </w:t>
      </w:r>
      <w:r>
        <w:rPr>
          <w:rFonts w:hint="eastAsia" w:ascii="宋体" w:hAnsi="宋体" w:eastAsia="宋体" w:cs="宋体"/>
          <w:bCs/>
          <w:color w:val="auto"/>
          <w:highlight w:val="none"/>
          <w:u w:val="single"/>
          <w:lang w:val="en-US" w:eastAsia="zh-CN"/>
        </w:rPr>
        <w:t xml:space="preserve"> </w:t>
      </w:r>
      <w:r>
        <w:rPr>
          <w:rFonts w:hint="default" w:ascii="宋体" w:hAnsi="宋体" w:eastAsia="宋体" w:cs="宋体"/>
          <w:bCs/>
          <w:color w:val="auto"/>
          <w:highlight w:val="none"/>
          <w:u w:val="single"/>
          <w:lang w:val="en-US"/>
        </w:rPr>
        <w:t xml:space="preserve"> </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ind w:left="960" w:firstLine="960"/>
        <w:keepLines w:val="0"/>
        <w:keepNext w:val="0"/>
        <w:pageBreakBefore w:val="0"/>
        <w:spacing w:line="22" w:lineRule="atLeast"/>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ind w:firstLine="960"/>
        <w:keepLines w:val="0"/>
        <w:keepNext w:val="0"/>
        <w:pageBreakBefore w:val="0"/>
        <w:spacing w:line="22" w:lineRule="atLeas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960"/>
        <w:keepLines w:val="0"/>
        <w:keepNext w:val="0"/>
        <w:pageBreakBefore w:val="0"/>
        <w:spacing w:line="22" w:lineRule="atLeast"/>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ind w:left="960" w:firstLine="960"/>
        <w:keepLines w:val="0"/>
        <w:keepNext w:val="0"/>
        <w:pageBreakBefore w:val="0"/>
        <w:spacing w:line="22" w:lineRule="atLeast"/>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left="960" w:firstLine="960"/>
        <w:keepLines w:val="0"/>
        <w:keepNext w:val="0"/>
        <w:pageBreakBefore w:val="0"/>
        <w:spacing w:line="22" w:lineRule="atLeast"/>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ind w:left="960" w:firstLine="960"/>
        <w:keepLines w:val="0"/>
        <w:keepNext w:val="0"/>
        <w:pageBreakBefore w:val="0"/>
        <w:spacing w:line="22" w:lineRule="atLeas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960"/>
        <w:keepLines w:val="0"/>
        <w:keepNext w:val="0"/>
        <w:pageBreakBefore w:val="0"/>
        <w:spacing w:line="22" w:lineRule="atLeast"/>
        <w:widowControl w:val="off"/>
        <w:rPr>
          <w:rFonts w:hint="eastAsia" w:ascii="宋体" w:hAnsi="宋体" w:cs="宋体"/>
          <w:color w:val="auto"/>
          <w:sz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宜兴市杨巷镇人民政府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竞争性磋商采购方式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杨巷镇生活污水“全收集全处理”提质提标工作前期服务项目 </w:t>
      </w:r>
      <w:r>
        <w:rPr>
          <w:rFonts w:hint="eastAsia" w:ascii="宋体" w:hAnsi="宋体" w:cs="宋体"/>
          <w:color w:val="auto"/>
          <w:sz w:val="24"/>
          <w:highlight w:val="none"/>
        </w:rPr>
        <w:t xml:space="preserve">进行了采购。经磋商小组评审，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宜兴市杨巷镇人民政府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w:t>
      </w:r>
      <w:r>
        <w:rPr>
          <w:rFonts w:hint="eastAsia" w:ascii="宋体" w:hAnsi="宋体" w:cs="宋体"/>
          <w:color w:val="auto"/>
          <w:sz w:val="24"/>
          <w:highlight w:val="none"/>
          <w:u w:val="single"/>
        </w:rPr>
        <w:t xml:space="preserve">（成交供应商名称）</w:t>
      </w:r>
      <w:r>
        <w:rPr>
          <w:rFonts w:hint="eastAsia" w:ascii="宋体" w:hAnsi="宋体" w:cs="宋体"/>
          <w:color w:val="auto"/>
          <w:sz w:val="24"/>
          <w:highlight w:val="none"/>
        </w:rPr>
        <w:t xml:space="preserve">为该项目成交供应商。现于成交通知书发出之日起三十日内，按照磋商文件确定的事项签订本合同。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宜兴市杨巷镇人民政府</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color w:val="auto"/>
          <w:sz w:val="24"/>
          <w:szCs w:val="24"/>
          <w:highlight w:val="none"/>
        </w:rPr>
      </w:pPr>
      <w:r/>
      <w:bookmarkStart w:id="32" w:name="_Toc15367"/>
      <w:r/>
      <w:bookmarkStart w:id="33" w:name="_Toc20421"/>
      <w:r/>
      <w:bookmarkStart w:id="34" w:name="_Toc19273"/>
      <w:r/>
      <w:bookmarkStart w:id="35" w:name="_Toc28855"/>
      <w:r/>
      <w:bookmarkStart w:id="36" w:name="_Toc22967"/>
      <w:r>
        <w:rPr>
          <w:rFonts w:hint="eastAsia" w:ascii="宋体" w:hAnsi="宋体" w:cs="宋体"/>
          <w:b/>
          <w:color w:val="auto"/>
          <w:sz w:val="24"/>
          <w:szCs w:val="24"/>
          <w:highlight w:val="none"/>
        </w:rPr>
        <w:t xml:space="preserve">1.1 合同组成部分</w:t>
      </w:r>
      <w:bookmarkEnd w:id="32"/>
      <w:r/>
      <w:bookmarkEnd w:id="33"/>
      <w:r/>
      <w:bookmarkEnd w:id="34"/>
      <w:r/>
      <w:bookmarkEnd w:id="35"/>
      <w:r/>
      <w:bookmarkEnd w:id="3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下列文件为本合同的组成部分，并构成一个整体，需综合解释、相互补充。如果下列文件内容出现不一致的情形，那么在保证按照磋商文件确定的事项的前提下，组成本合同的多个文件的优先适用顺序如下：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成交通知书；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响应文件（含澄清或者说明文件）；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磋商文件（含澄清或者修改文件）；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其他相关磋商文件。</w:t>
      </w:r>
      <w:r/>
    </w:p>
    <w:p>
      <w:pPr>
        <w:ind w:firstLine="482"/>
        <w:spacing w:line="560" w:lineRule="exact"/>
        <w:rPr>
          <w:rFonts w:hint="eastAsia" w:ascii="宋体" w:hAnsi="宋体" w:cs="宋体"/>
          <w:b/>
          <w:color w:val="auto"/>
          <w:sz w:val="24"/>
          <w:szCs w:val="24"/>
          <w:highlight w:val="none"/>
        </w:rPr>
      </w:pPr>
      <w:r/>
      <w:bookmarkStart w:id="37" w:name="_Toc2918"/>
      <w:r/>
      <w:bookmarkStart w:id="38" w:name="_Toc18585"/>
      <w:r/>
      <w:bookmarkStart w:id="39" w:name="_Toc22185"/>
      <w:r/>
      <w:bookmarkStart w:id="40" w:name="_Toc6773"/>
      <w:r/>
      <w:bookmarkStart w:id="41" w:name="_Toc6311"/>
      <w:r>
        <w:rPr>
          <w:rFonts w:hint="eastAsia" w:ascii="宋体" w:hAnsi="宋体" w:cs="宋体"/>
          <w:b/>
          <w:color w:val="auto"/>
          <w:sz w:val="24"/>
          <w:szCs w:val="24"/>
          <w:highlight w:val="none"/>
        </w:rPr>
        <w:t xml:space="preserve">1.2 标的</w:t>
      </w:r>
      <w:bookmarkEnd w:id="37"/>
      <w:r/>
      <w:bookmarkEnd w:id="38"/>
      <w:r/>
      <w:bookmarkEnd w:id="39"/>
      <w:r/>
      <w:bookmarkEnd w:id="40"/>
      <w:r/>
      <w:bookmarkEnd w:id="41"/>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项目数量：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项目质量：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42" w:name="_Toc21124"/>
      <w:r/>
      <w:bookmarkStart w:id="43" w:name="_Toc5635"/>
      <w:r/>
      <w:bookmarkStart w:id="44" w:name="_Toc13918"/>
      <w:r/>
      <w:bookmarkStart w:id="45" w:name="_Toc1386"/>
      <w:r/>
      <w:bookmarkStart w:id="46" w:name="_Toc4929"/>
      <w:r>
        <w:rPr>
          <w:rFonts w:hint="eastAsia" w:ascii="宋体" w:hAnsi="宋体" w:cs="宋体"/>
          <w:b/>
          <w:color w:val="auto"/>
          <w:sz w:val="24"/>
          <w:szCs w:val="24"/>
          <w:highlight w:val="none"/>
        </w:rPr>
        <w:t xml:space="preserve">1.3 价款</w:t>
      </w:r>
      <w:bookmarkEnd w:id="42"/>
      <w:r/>
      <w:bookmarkEnd w:id="43"/>
      <w:r/>
      <w:bookmarkEnd w:id="44"/>
      <w:r/>
      <w:bookmarkEnd w:id="45"/>
      <w:r/>
      <w:bookmarkEnd w:id="46"/>
      <w:r/>
      <w:r/>
    </w:p>
    <w:p>
      <w:pPr>
        <w:ind w:firstLine="480"/>
        <w:spacing w:line="560" w:lineRule="exact"/>
        <w:rPr>
          <w:rFonts w:hint="eastAsia" w:ascii="宋体" w:hAnsi="宋体" w:cs="宋体"/>
          <w:color w:val="auto"/>
          <w:sz w:val="24"/>
          <w:szCs w:val="24"/>
          <w:highlight w:val="none"/>
        </w:rPr>
      </w:pPr>
      <w:r/>
      <w:bookmarkStart w:id="47" w:name="_Toc14993"/>
      <w:r/>
      <w:bookmarkStart w:id="48" w:name="_Toc30506"/>
      <w:r/>
      <w:bookmarkStart w:id="49" w:name="_Toc3654"/>
      <w:r/>
      <w:bookmarkStart w:id="50" w:name="_Toc26916"/>
      <w:r/>
      <w:bookmarkStart w:id="51" w:name="_Toc30158"/>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948"/>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567"/>
        </w:trPr>
        <w:tc>
          <w:tcPr>
            <w:tcW w:w="1201"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序号</w:t>
            </w:r>
            <w:r/>
          </w:p>
        </w:tc>
        <w:tc>
          <w:tcPr>
            <w:tcW w:w="340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分项名称</w:t>
            </w:r>
            <w:r/>
          </w:p>
        </w:tc>
        <w:tc>
          <w:tcPr>
            <w:tcW w:w="255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分项价格</w:t>
            </w:r>
            <w:r/>
          </w:p>
        </w:tc>
      </w:tr>
      <w:tr>
        <w:trPr>
          <w:jc w:val="center"/>
          <w:trHeight w:val="567"/>
        </w:trPr>
        <w:tc>
          <w:tcPr>
            <w:tcW w:w="1201"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c>
          <w:tcPr>
            <w:tcW w:w="340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c>
          <w:tcPr>
            <w:tcW w:w="255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r>
      <w:tr>
        <w:trPr>
          <w:jc w:val="center"/>
          <w:trHeight w:val="567"/>
        </w:trPr>
        <w:tc>
          <w:tcPr>
            <w:tcW w:w="1201"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c>
          <w:tcPr>
            <w:tcW w:w="340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c>
          <w:tcPr>
            <w:tcW w:w="255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r>
      <w:tr>
        <w:trPr>
          <w:jc w:val="center"/>
          <w:trHeight w:val="567"/>
        </w:trPr>
        <w:tc>
          <w:tcPr>
            <w:tcW w:w="1201"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c>
          <w:tcPr>
            <w:tcW w:w="340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c>
          <w:tcPr>
            <w:tcW w:w="255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r>
      <w:tr>
        <w:trPr>
          <w:jc w:val="center"/>
          <w:trHeight w:val="567"/>
        </w:trPr>
        <w:tc>
          <w:tcPr>
            <w:tcW w:w="1201"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c>
          <w:tcPr>
            <w:tcW w:w="340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c>
          <w:tcPr>
            <w:tcW w:w="255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r>
      <w:tr>
        <w:trPr>
          <w:jc w:val="center"/>
          <w:trHeight w:val="567"/>
        </w:trPr>
        <w:tc>
          <w:tcPr>
            <w:gridSpan w:val="2"/>
            <w:tcW w:w="4603"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t xml:space="preserve">总价</w:t>
            </w:r>
            <w:r/>
          </w:p>
        </w:tc>
        <w:tc>
          <w:tcPr>
            <w:tcW w:w="2552" w:type="dxa"/>
            <w:vAlign w:val="center"/>
            <w:textDirection w:val="lrTb"/>
            <w:noWrap w:val="false"/>
          </w:tcPr>
          <w:p>
            <w:pPr>
              <w:jc w:val="center"/>
              <w:spacing w:line="360" w:lineRule="auto"/>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r>
            <w:r/>
          </w:p>
        </w:tc>
      </w:tr>
    </w:tbl>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1.4 付款方式和发票开具方式</w:t>
      </w:r>
      <w:bookmarkEnd w:id="47"/>
      <w:r/>
      <w:bookmarkEnd w:id="48"/>
      <w:r/>
      <w:bookmarkEnd w:id="49"/>
      <w:r/>
      <w:bookmarkEnd w:id="50"/>
      <w:r/>
      <w:bookmarkEnd w:id="5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52" w:name="_Toc3625"/>
      <w:r/>
      <w:bookmarkStart w:id="53" w:name="_Toc31421"/>
      <w:r/>
      <w:bookmarkStart w:id="54" w:name="_Toc8772"/>
      <w:r/>
      <w:bookmarkStart w:id="55" w:name="_Toc11108"/>
      <w:r/>
      <w:bookmarkStart w:id="56" w:name="_Toc4760"/>
      <w:r>
        <w:rPr>
          <w:rFonts w:hint="eastAsia" w:ascii="宋体" w:hAnsi="宋体" w:cs="宋体"/>
          <w:b/>
          <w:color w:val="auto"/>
          <w:sz w:val="24"/>
          <w:szCs w:val="24"/>
          <w:highlight w:val="none"/>
        </w:rPr>
        <w:t xml:space="preserve">1.5 履行期限、地点和方式</w:t>
      </w:r>
      <w:bookmarkEnd w:id="52"/>
      <w:r/>
      <w:bookmarkEnd w:id="53"/>
      <w:r/>
      <w:bookmarkEnd w:id="54"/>
      <w:r/>
      <w:bookmarkEnd w:id="55"/>
      <w:r/>
      <w:bookmarkEnd w:id="56"/>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p>
    <w:p>
      <w:pPr>
        <w:ind w:firstLine="482"/>
        <w:spacing w:line="560" w:lineRule="exact"/>
        <w:rPr>
          <w:rFonts w:hint="eastAsia" w:ascii="宋体" w:hAnsi="宋体" w:cs="宋体"/>
          <w:color w:val="auto"/>
          <w:sz w:val="24"/>
          <w:szCs w:val="24"/>
          <w:highlight w:val="none"/>
          <w:u w:val="single"/>
        </w:rPr>
      </w:pPr>
      <w:r/>
      <w:bookmarkStart w:id="57" w:name="_Toc3079"/>
      <w:r/>
      <w:bookmarkStart w:id="58" w:name="_Toc24662"/>
      <w:r/>
      <w:bookmarkStart w:id="59" w:name="_Toc8586"/>
      <w:r/>
      <w:bookmarkStart w:id="60" w:name="_Toc5698"/>
      <w:r/>
      <w:bookmarkStart w:id="61" w:name="_Toc2375"/>
      <w:r>
        <w:rPr>
          <w:rFonts w:hint="eastAsia" w:ascii="宋体" w:hAnsi="宋体" w:cs="宋体"/>
          <w:b/>
          <w:color w:val="auto"/>
          <w:sz w:val="24"/>
          <w:szCs w:val="24"/>
          <w:highlight w:val="none"/>
        </w:rPr>
        <w:t xml:space="preserve">1.6 违约责任</w:t>
      </w:r>
      <w:bookmarkEnd w:id="57"/>
      <w:r/>
      <w:bookmarkEnd w:id="58"/>
      <w:r/>
      <w:bookmarkEnd w:id="59"/>
      <w:r/>
      <w:bookmarkEnd w:id="60"/>
      <w:r/>
      <w:bookmarkEnd w:id="61"/>
      <w:r/>
      <w:r/>
    </w:p>
    <w:p>
      <w:pPr>
        <w:ind w:firstLine="480"/>
        <w:spacing w:line="560" w:lineRule="exact"/>
        <w:rPr>
          <w:rFonts w:hint="eastAsia" w:ascii="宋体" w:hAnsi="宋体" w:cs="宋体"/>
          <w:color w:val="auto"/>
          <w:sz w:val="24"/>
          <w:szCs w:val="24"/>
        </w:rPr>
      </w:pPr>
      <w:r/>
      <w:bookmarkStart w:id="62" w:name="_Toc30329"/>
      <w:r/>
      <w:bookmarkStart w:id="63" w:name="_Toc18683"/>
      <w:r/>
      <w:bookmarkStart w:id="64" w:name="_Toc32454"/>
      <w:r/>
      <w:bookmarkStart w:id="65" w:name="_Toc9497"/>
      <w:r/>
      <w:bookmarkStart w:id="66" w:name="_Toc26807"/>
      <w:r>
        <w:rPr>
          <w:rFonts w:hint="eastAsia" w:ascii="宋体" w:hAnsi="宋体" w:cs="宋体"/>
          <w:color w:val="auto"/>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%计算，最高限额为本合同总价的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%计算，最高限额为本合同总价的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rPr>
      </w:pPr>
      <w:r>
        <w:rPr>
          <w:rFonts w:hint="eastAsia" w:ascii="宋体" w:hAnsi="宋体"/>
          <w:bCs/>
          <w:color w:val="auto"/>
          <w:sz w:val="24"/>
        </w:rPr>
        <w:t xml:space="preserve">1.6.5 </w:t>
      </w:r>
      <w:r>
        <w:rPr>
          <w:rFonts w:hint="eastAsia" w:ascii="宋体" w:hAnsi="宋体"/>
          <w:bCs/>
          <w:color w:val="auto"/>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1.7 合同争议的解决</w:t>
      </w:r>
      <w:bookmarkEnd w:id="62"/>
      <w:r/>
      <w:bookmarkEnd w:id="63"/>
      <w:r/>
      <w:bookmarkEnd w:id="64"/>
      <w:r/>
      <w:bookmarkEnd w:id="65"/>
      <w:r/>
      <w:bookmarkEnd w:id="6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凡因本合同引起的或与本合同有关的任何争议，均提交无锡仲裁委员会，按照申请仲裁时该会的仲裁规则进行仲裁。</w:t>
      </w:r>
      <w:r/>
    </w:p>
    <w:p>
      <w:pPr>
        <w:ind w:firstLine="482"/>
        <w:spacing w:line="560" w:lineRule="exact"/>
        <w:rPr>
          <w:rFonts w:hint="eastAsia" w:ascii="宋体" w:hAnsi="宋体" w:cs="宋体"/>
          <w:b/>
          <w:color w:val="auto"/>
          <w:sz w:val="24"/>
          <w:szCs w:val="24"/>
          <w:highlight w:val="none"/>
        </w:rPr>
      </w:pPr>
      <w:r/>
      <w:bookmarkStart w:id="67" w:name="_Toc12273"/>
      <w:r/>
      <w:bookmarkStart w:id="68" w:name="_Toc23784"/>
      <w:r/>
      <w:bookmarkStart w:id="69" w:name="_Toc15827"/>
      <w:r/>
      <w:bookmarkStart w:id="70" w:name="_Toc26227"/>
      <w:r/>
      <w:bookmarkStart w:id="71" w:name="_Toc16417"/>
      <w:r>
        <w:rPr>
          <w:rFonts w:hint="eastAsia" w:ascii="宋体" w:hAnsi="宋体" w:cs="宋体"/>
          <w:b/>
          <w:color w:val="auto"/>
          <w:sz w:val="24"/>
          <w:szCs w:val="24"/>
          <w:highlight w:val="none"/>
        </w:rPr>
        <w:t xml:space="preserve">1.8 合同生效</w:t>
      </w:r>
      <w:bookmarkEnd w:id="67"/>
      <w:r/>
      <w:bookmarkEnd w:id="68"/>
      <w:r/>
      <w:bookmarkEnd w:id="69"/>
      <w:r/>
      <w:bookmarkEnd w:id="70"/>
      <w:r/>
      <w:bookmarkEnd w:id="71"/>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w:t>
      </w:r>
      <w:r>
        <w:rPr>
          <w:rFonts w:hint="eastAsia" w:ascii="宋体" w:hAnsi="宋体" w:cs="宋体"/>
          <w:color w:val="auto"/>
          <w:sz w:val="24"/>
          <w:highlight w:val="none"/>
          <w:lang w:val="en-US" w:eastAsia="zh-CN"/>
        </w:rPr>
        <w:t xml:space="preserve">捌</w:t>
      </w:r>
      <w:r>
        <w:rPr>
          <w:rFonts w:hint="eastAsia" w:ascii="宋体" w:hAnsi="宋体" w:cs="宋体"/>
          <w:color w:val="auto"/>
          <w:sz w:val="24"/>
          <w:highlight w:val="none"/>
        </w:rPr>
        <w:t xml:space="preserve">份，供需双方各持</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份，报送财政监管部门备案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招标代理</w:t>
      </w:r>
      <w:r>
        <w:rPr>
          <w:rFonts w:hint="eastAsia" w:ascii="宋体" w:hAnsi="宋体" w:cs="宋体"/>
          <w:color w:val="auto"/>
          <w:sz w:val="24"/>
        </w:rPr>
        <w:t xml:space="preserve">存档各</w:t>
      </w:r>
      <w:r>
        <w:rPr>
          <w:rFonts w:hint="eastAsia" w:ascii="宋体" w:hAnsi="宋体" w:cs="宋体"/>
          <w:color w:val="auto"/>
          <w:sz w:val="24"/>
          <w:lang w:eastAsia="zh-CN"/>
        </w:rPr>
        <w:t xml:space="preserve">壹</w:t>
      </w:r>
      <w:r>
        <w:rPr>
          <w:rFonts w:hint="eastAsia" w:ascii="宋体" w:hAnsi="宋体" w:cs="宋体"/>
          <w:color w:val="auto"/>
          <w:sz w:val="24"/>
        </w:rPr>
        <w:t xml:space="preserve">份</w:t>
      </w:r>
      <w:r>
        <w:rPr>
          <w:rFonts w:hint="eastAsia" w:ascii="宋体" w:hAnsi="宋体" w:cs="宋体"/>
          <w:color w:val="auto"/>
          <w:sz w:val="24"/>
          <w:highlight w:val="none"/>
        </w:rPr>
        <w:t xml:space="preserve">。</w:t>
      </w:r>
      <w:r/>
    </w:p>
    <w:p>
      <w:pPr>
        <w:ind w:firstLine="1267"/>
        <w:spacing w:line="560" w:lineRule="exact"/>
        <w:tabs>
          <w:tab w:val="left" w:pos="1514" w:leader="none"/>
        </w:tabs>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hint="eastAsia" w:ascii="宋体" w:hAnsi="宋体" w:cs="宋体"/>
          <w:b/>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bookmarkStart w:id="72" w:name="_Toc331685783"/>
      <w:r/>
      <w:r/>
    </w:p>
    <w:p>
      <w:pPr>
        <w:pStyle w:val="957"/>
        <w:ind w:firstLine="200"/>
        <w:jc w:val="center"/>
        <w:keepLines w:val="0"/>
        <w:keepNext w:val="0"/>
        <w:pageBreakBefore w:val="0"/>
        <w:spacing w:line="500" w:lineRule="exact"/>
        <w:widowControl w:val="off"/>
        <w:rPr>
          <w:rFonts w:hint="eastAsia" w:hAnsi="宋体" w:cs="宋体"/>
          <w:b/>
          <w:color w:val="auto"/>
          <w:szCs w:val="24"/>
          <w:highlight w:val="none"/>
        </w:rPr>
      </w:pPr>
      <w:r>
        <w:rPr>
          <w:rFonts w:hint="eastAsia" w:hAnsi="宋体" w:cs="宋体"/>
          <w:b/>
          <w:color w:val="auto"/>
          <w:szCs w:val="24"/>
          <w:highlight w:val="none"/>
        </w:rPr>
        <w:t xml:space="preserve">第二部分 合同一般条款</w:t>
      </w:r>
      <w:bookmarkEnd w:id="72"/>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73" w:name="_Ref467378499"/>
      <w:r/>
      <w:bookmarkStart w:id="74" w:name="_Toc19680"/>
      <w:r/>
      <w:bookmarkStart w:id="75" w:name="_Toc25079"/>
      <w:r/>
      <w:bookmarkStart w:id="76" w:name="_Ref467379109"/>
      <w:r/>
      <w:bookmarkStart w:id="77" w:name="_Ref467378404"/>
      <w:r/>
      <w:bookmarkStart w:id="78" w:name="_Ref467379101"/>
      <w:r/>
      <w:bookmarkStart w:id="79" w:name="_Toc5228"/>
      <w:r/>
      <w:bookmarkStart w:id="80" w:name="_Toc14021"/>
      <w:r/>
      <w:bookmarkStart w:id="81" w:name="_Toc279701240"/>
      <w:r/>
      <w:bookmarkStart w:id="82" w:name="_Ref467379195"/>
      <w:r/>
      <w:bookmarkStart w:id="83" w:name="_Ref467379214"/>
      <w:r/>
      <w:bookmarkStart w:id="84" w:name="_Toc487900349"/>
      <w:r/>
      <w:bookmarkStart w:id="85" w:name="_Toc31297"/>
      <w:r/>
      <w:bookmarkStart w:id="86" w:name="_Ref467379094"/>
      <w:r/>
      <w:bookmarkStart w:id="87" w:name="_Ref467379205"/>
      <w:r/>
      <w:bookmarkStart w:id="88" w:name="_Ref467378463"/>
      <w:r/>
      <w:bookmarkStart w:id="89" w:name="_Ref467379225"/>
      <w:r/>
      <w:bookmarkStart w:id="90" w:name="_Toc259093669"/>
      <w:r>
        <w:rPr>
          <w:rFonts w:hint="eastAsia" w:ascii="宋体" w:hAnsi="宋体" w:cs="宋体"/>
          <w:b/>
          <w:color w:val="auto"/>
          <w:sz w:val="24"/>
          <w:szCs w:val="24"/>
          <w:highlight w:val="none"/>
        </w:rPr>
        <w:t xml:space="preserve">2.1 定义</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“合同”系指采购人和成交供应商签订的载明双方当事人所达成的协议，并包括所有的附件、附录和构成合同的其他文件。</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“合同价”系指根据合同约定，成交供应商在完全履行合同义务后，采购人应支付给成交供应商的价格。</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bookmarkStart w:id="91" w:name="_Ref467378840"/>
      <w:r>
        <w:rPr>
          <w:rFonts w:hint="eastAsia" w:ascii="宋体" w:hAnsi="宋体" w:cs="宋体"/>
          <w:color w:val="auto"/>
          <w:sz w:val="24"/>
          <w:szCs w:val="24"/>
          <w:highlight w:val="none"/>
        </w:rPr>
        <w:t xml:space="preserve">2.1.4 “甲方”系指与成交供应商签署合同的采购人</w:t>
      </w:r>
      <w:bookmarkEnd w:id="9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bookmarkStart w:id="92" w:name="_Ref467379400"/>
      <w:r>
        <w:rPr>
          <w:rFonts w:hint="eastAsia" w:ascii="宋体" w:hAnsi="宋体" w:cs="宋体"/>
          <w:color w:val="auto"/>
          <w:sz w:val="24"/>
          <w:szCs w:val="24"/>
          <w:highlight w:val="none"/>
        </w:rPr>
        <w:t xml:space="preserve">2.1.5 “乙方”系指根据合同约定提供服务的成交供应商</w:t>
      </w:r>
      <w:bookmarkEnd w:id="92"/>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bookmarkStart w:id="93" w:name="_Ref467379436"/>
      <w:r>
        <w:rPr>
          <w:rFonts w:hint="eastAsia" w:ascii="宋体" w:hAnsi="宋体" w:cs="宋体"/>
          <w:color w:val="auto"/>
          <w:sz w:val="24"/>
          <w:szCs w:val="24"/>
          <w:highlight w:val="none"/>
        </w:rPr>
        <w:t xml:space="preserve">2.1.6 “现场”系指合同约定提供服务的地点。</w:t>
      </w:r>
      <w:bookmarkEnd w:id="93"/>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94" w:name="_Toc259093670"/>
      <w:r/>
      <w:bookmarkStart w:id="95" w:name="_Toc3769"/>
      <w:r/>
      <w:bookmarkStart w:id="96" w:name="_Toc279701241"/>
      <w:r/>
      <w:bookmarkStart w:id="97" w:name="_Toc487900350"/>
      <w:r/>
      <w:bookmarkStart w:id="98" w:name="_Toc16752"/>
      <w:r/>
      <w:bookmarkStart w:id="99" w:name="_Toc31402"/>
      <w:r/>
      <w:bookmarkStart w:id="100" w:name="_Toc19539"/>
      <w:r/>
      <w:bookmarkStart w:id="101" w:name="_Toc23289"/>
      <w:r>
        <w:rPr>
          <w:rFonts w:hint="eastAsia" w:ascii="宋体" w:hAnsi="宋体" w:cs="宋体"/>
          <w:b/>
          <w:color w:val="auto"/>
          <w:sz w:val="24"/>
          <w:szCs w:val="24"/>
          <w:highlight w:val="none"/>
        </w:rPr>
        <w:t xml:space="preserve">2.2 技术规范</w:t>
      </w:r>
      <w:bookmarkEnd w:id="94"/>
      <w:r/>
      <w:bookmarkEnd w:id="95"/>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02" w:name="_Toc279701242"/>
      <w:r/>
      <w:bookmarkStart w:id="103" w:name="_Toc259093671"/>
      <w:r/>
      <w:bookmarkStart w:id="104" w:name="_Toc9161"/>
      <w:r/>
      <w:bookmarkStart w:id="105" w:name="_Toc13673"/>
      <w:r/>
      <w:bookmarkStart w:id="106" w:name="_Toc12412"/>
      <w:r/>
      <w:bookmarkStart w:id="107" w:name="_Toc487900351"/>
      <w:r/>
      <w:bookmarkStart w:id="108" w:name="_Toc27945"/>
      <w:r/>
      <w:bookmarkStart w:id="109" w:name="_Toc4133"/>
      <w:r>
        <w:rPr>
          <w:rFonts w:hint="eastAsia" w:ascii="宋体" w:hAnsi="宋体" w:cs="宋体"/>
          <w:b/>
          <w:color w:val="auto"/>
          <w:sz w:val="24"/>
          <w:szCs w:val="24"/>
          <w:highlight w:val="none"/>
        </w:rPr>
        <w:t xml:space="preserve">2.3 知识产权</w:t>
      </w:r>
      <w:bookmarkEnd w:id="102"/>
      <w:r/>
      <w:bookmarkEnd w:id="103"/>
      <w:r/>
      <w:bookmarkEnd w:id="104"/>
      <w:r/>
      <w:bookmarkEnd w:id="105"/>
      <w:r/>
      <w:bookmarkEnd w:id="106"/>
      <w:r/>
      <w:bookmarkEnd w:id="107"/>
      <w:r/>
      <w:bookmarkEnd w:id="108"/>
      <w:r/>
      <w:bookmarkEnd w:id="109"/>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乙方享有署名权，并有权为科学研究、学术交流研讨、单位成果宣传、行业评奖评优等原因自行使用项目合同成果，除上述约定外，乙方未经甲方同意不得自行或授权给其他方使用，否则甲方有权要求乙方赔偿实际损失。</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bookmarkStart w:id="110" w:name="_Ref467379657"/>
      <w:r>
        <w:rPr>
          <w:rFonts w:hint="eastAsia" w:ascii="宋体" w:hAnsi="宋体" w:cs="宋体"/>
          <w:color w:val="auto"/>
          <w:sz w:val="24"/>
          <w:szCs w:val="24"/>
          <w:highlight w:val="none"/>
        </w:rPr>
        <w:t xml:space="preserve">2.4.1</w:t>
      </w:r>
      <w:bookmarkEnd w:id="110"/>
      <w:r/>
      <w:bookmarkStart w:id="111" w:name="_Toc186431854"/>
      <w:r/>
      <w:bookmarkStart w:id="112" w:name="_Ref467379807"/>
      <w:r/>
      <w:bookmarkStart w:id="113" w:name="_Toc487900357"/>
      <w:r/>
      <w:bookmarkStart w:id="114" w:name="_Toc279701247"/>
      <w:r/>
      <w:bookmarkStart w:id="115" w:name="_Ref467379793"/>
      <w:r/>
      <w:bookmarkStart w:id="116" w:name="_Toc259093676"/>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11"/>
      <w:r/>
      <w:bookmarkStart w:id="117" w:name="_Toc186431855"/>
      <w:r>
        <w:rPr>
          <w:rFonts w:hint="eastAsia" w:ascii="宋体" w:hAnsi="宋体" w:cs="宋体"/>
          <w:color w:val="auto"/>
          <w:sz w:val="24"/>
          <w:szCs w:val="24"/>
          <w:highlight w:val="none"/>
        </w:rPr>
        <w:t xml:space="preserve">。</w:t>
      </w:r>
      <w:bookmarkEnd w:id="112"/>
      <w:r/>
      <w:bookmarkEnd w:id="113"/>
      <w:r/>
      <w:bookmarkEnd w:id="114"/>
      <w:r/>
      <w:bookmarkEnd w:id="115"/>
      <w:r/>
      <w:bookmarkEnd w:id="116"/>
      <w:r/>
      <w:bookmarkEnd w:id="117"/>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18" w:name="_Ref467379923"/>
      <w:r/>
      <w:bookmarkStart w:id="119" w:name="_Ref467379863"/>
      <w:r/>
      <w:bookmarkStart w:id="120" w:name="_Toc259093677"/>
      <w:r/>
      <w:bookmarkStart w:id="121" w:name="_Toc487900358"/>
      <w:r/>
      <w:bookmarkStart w:id="122" w:name="_Ref467379852"/>
      <w:r/>
      <w:bookmarkStart w:id="123" w:name="_Toc279701248"/>
      <w:r/>
      <w:bookmarkStart w:id="124" w:name="_Toc18990"/>
      <w:r/>
      <w:bookmarkStart w:id="125" w:name="_Toc13467"/>
      <w:r/>
      <w:bookmarkStart w:id="126" w:name="_Toc13154"/>
      <w:r/>
      <w:bookmarkStart w:id="127" w:name="_Toc16163"/>
      <w:r/>
      <w:bookmarkStart w:id="128" w:name="_Toc30507"/>
      <w:r>
        <w:rPr>
          <w:rFonts w:hint="eastAsia" w:ascii="宋体" w:hAnsi="宋体" w:cs="宋体"/>
          <w:b/>
          <w:color w:val="auto"/>
          <w:sz w:val="24"/>
          <w:szCs w:val="24"/>
          <w:highlight w:val="none"/>
        </w:rPr>
        <w:t xml:space="preserve">2.5 技术资料</w:t>
      </w:r>
      <w:bookmarkEnd w:id="118"/>
      <w:r/>
      <w:bookmarkEnd w:id="119"/>
      <w:r/>
      <w:bookmarkEnd w:id="120"/>
      <w:r/>
      <w:bookmarkEnd w:id="121"/>
      <w:r/>
      <w:bookmarkEnd w:id="122"/>
      <w:r/>
      <w:bookmarkEnd w:id="123"/>
      <w:r>
        <w:rPr>
          <w:rFonts w:hint="eastAsia" w:ascii="宋体" w:hAnsi="宋体" w:cs="宋体"/>
          <w:b/>
          <w:color w:val="auto"/>
          <w:sz w:val="24"/>
          <w:szCs w:val="24"/>
          <w:highlight w:val="none"/>
        </w:rPr>
        <w:t xml:space="preserve">和保密义务</w:t>
      </w:r>
      <w:bookmarkEnd w:id="124"/>
      <w:r/>
      <w:bookmarkEnd w:id="125"/>
      <w:r/>
      <w:bookmarkEnd w:id="126"/>
      <w:r/>
      <w:bookmarkEnd w:id="127"/>
      <w:r/>
      <w:bookmarkEnd w:id="128"/>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29" w:name="_Toc19069"/>
      <w:r/>
      <w:bookmarkStart w:id="130" w:name="_Toc259093681"/>
      <w:r/>
      <w:bookmarkStart w:id="131" w:name="_Toc279701252"/>
      <w:r/>
      <w:bookmarkStart w:id="132" w:name="_Toc487900362"/>
      <w:r>
        <w:rPr>
          <w:rFonts w:hint="eastAsia" w:ascii="宋体" w:hAnsi="宋体" w:cs="宋体"/>
          <w:b/>
          <w:color w:val="auto"/>
          <w:sz w:val="24"/>
          <w:szCs w:val="24"/>
          <w:highlight w:val="none"/>
        </w:rPr>
        <w:t xml:space="preserve">2.6 质量保证</w:t>
      </w:r>
      <w:bookmarkEnd w:id="129"/>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33" w:name="_Toc22267"/>
      <w:r>
        <w:rPr>
          <w:rFonts w:hint="eastAsia" w:ascii="宋体" w:hAnsi="宋体" w:cs="宋体"/>
          <w:b/>
          <w:color w:val="auto"/>
          <w:sz w:val="24"/>
          <w:szCs w:val="24"/>
          <w:highlight w:val="none"/>
        </w:rPr>
        <w:t xml:space="preserve">2.7 延迟</w:t>
      </w:r>
      <w:bookmarkEnd w:id="130"/>
      <w:r/>
      <w:bookmarkEnd w:id="131"/>
      <w:r/>
      <w:bookmarkEnd w:id="132"/>
      <w:r>
        <w:rPr>
          <w:rFonts w:hint="eastAsia" w:ascii="宋体" w:hAnsi="宋体" w:cs="宋体"/>
          <w:b/>
          <w:color w:val="auto"/>
          <w:sz w:val="24"/>
          <w:szCs w:val="24"/>
          <w:highlight w:val="none"/>
        </w:rPr>
        <w:t xml:space="preserve">履行</w:t>
      </w:r>
      <w:bookmarkEnd w:id="133"/>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34" w:name="_Toc10611"/>
      <w:r/>
      <w:bookmarkStart w:id="135" w:name="_Ref467378121"/>
      <w:r/>
      <w:bookmarkStart w:id="136" w:name="_Toc259093683"/>
      <w:r/>
      <w:bookmarkStart w:id="137" w:name="_Toc487900364"/>
      <w:r/>
      <w:bookmarkStart w:id="138" w:name="_Toc279701254"/>
      <w:r>
        <w:rPr>
          <w:rFonts w:hint="eastAsia" w:ascii="宋体" w:hAnsi="宋体" w:cs="宋体"/>
          <w:b/>
          <w:color w:val="auto"/>
          <w:sz w:val="24"/>
          <w:szCs w:val="24"/>
          <w:highlight w:val="none"/>
        </w:rPr>
        <w:t xml:space="preserve">2.8 合同变更</w:t>
      </w:r>
      <w:bookmarkEnd w:id="134"/>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双方当事人协商一致，可以签订书面补充合同的形式变更合同，但不得违背磋商文件确定的事项，且如果系追加与合同标的相同的服务的，那么所有补充合同的采购金额不得超过原合同价的10%；</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39" w:name="_Toc279701259"/>
      <w:r/>
      <w:bookmarkStart w:id="140" w:name="_Toc487900369"/>
      <w:r/>
      <w:bookmarkStart w:id="141" w:name="_Toc259093688"/>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42" w:name="_Toc26689"/>
      <w:r/>
      <w:bookmarkStart w:id="143" w:name="_Toc21830"/>
      <w:r/>
      <w:bookmarkStart w:id="144" w:name="_Toc42"/>
      <w:r/>
      <w:bookmarkStart w:id="145" w:name="_Toc10663"/>
      <w:r/>
      <w:bookmarkStart w:id="146" w:name="_Toc23368"/>
      <w:r>
        <w:rPr>
          <w:rFonts w:hint="eastAsia" w:ascii="宋体" w:hAnsi="宋体" w:cs="宋体"/>
          <w:b/>
          <w:color w:val="auto"/>
          <w:sz w:val="24"/>
          <w:szCs w:val="24"/>
          <w:highlight w:val="none"/>
        </w:rPr>
        <w:t xml:space="preserve">2.9 合同转让</w:t>
      </w:r>
      <w:bookmarkEnd w:id="139"/>
      <w:r/>
      <w:bookmarkEnd w:id="140"/>
      <w:r/>
      <w:bookmarkEnd w:id="141"/>
      <w:r>
        <w:rPr>
          <w:rFonts w:hint="eastAsia" w:ascii="宋体" w:hAnsi="宋体" w:cs="宋体"/>
          <w:b/>
          <w:color w:val="auto"/>
          <w:sz w:val="24"/>
          <w:szCs w:val="24"/>
          <w:highlight w:val="none"/>
        </w:rPr>
        <w:t xml:space="preserve">和分包</w:t>
      </w:r>
      <w:bookmarkEnd w:id="142"/>
      <w:r/>
      <w:bookmarkEnd w:id="143"/>
      <w:r/>
      <w:bookmarkEnd w:id="144"/>
      <w:r/>
      <w:bookmarkEnd w:id="145"/>
      <w:r/>
      <w:bookmarkEnd w:id="146"/>
      <w:r/>
      <w:r/>
    </w:p>
    <w:p>
      <w:pPr>
        <w:ind w:firstLine="480"/>
        <w:keepLines w:val="0"/>
        <w:keepNext w:val="0"/>
        <w:pageBreakBefore w:val="0"/>
        <w:spacing w:line="500" w:lineRule="exact"/>
        <w:widowControl w:val="off"/>
        <w:tabs>
          <w:tab w:val="left" w:pos="2700" w:leader="none"/>
        </w:tabs>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w:t>
      </w:r>
      <w:r>
        <w:rPr>
          <w:rFonts w:hint="eastAsia" w:ascii="宋体" w:hAnsi="宋体" w:cs="宋体"/>
          <w:color w:val="auto"/>
          <w:sz w:val="24"/>
          <w:highlight w:val="none"/>
          <w:lang w:val="en-US" w:eastAsia="zh-CN"/>
        </w:rPr>
        <w:t xml:space="preserve">但</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47" w:name="_Toc32494"/>
      <w:r/>
      <w:bookmarkStart w:id="148" w:name="_Toc4720"/>
      <w:r/>
      <w:bookmarkStart w:id="149" w:name="_Toc25571"/>
      <w:r/>
      <w:bookmarkStart w:id="150" w:name="_Toc14371"/>
      <w:r/>
      <w:bookmarkStart w:id="151" w:name="_Toc26633"/>
      <w:r>
        <w:rPr>
          <w:rFonts w:hint="eastAsia" w:ascii="宋体" w:hAnsi="宋体" w:cs="宋体"/>
          <w:b/>
          <w:color w:val="auto"/>
          <w:sz w:val="24"/>
          <w:szCs w:val="24"/>
          <w:highlight w:val="none"/>
        </w:rPr>
        <w:t xml:space="preserve">2.10 不可抗力</w:t>
      </w:r>
      <w:bookmarkEnd w:id="147"/>
      <w:r/>
      <w:bookmarkEnd w:id="148"/>
      <w:r/>
      <w:bookmarkEnd w:id="149"/>
      <w:r/>
      <w:bookmarkEnd w:id="150"/>
      <w:r/>
      <w:bookmarkEnd w:id="151"/>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52" w:name="_Toc25783"/>
      <w:r/>
      <w:bookmarkStart w:id="153" w:name="_Toc487900365"/>
      <w:r/>
      <w:bookmarkStart w:id="154" w:name="_Toc24465"/>
      <w:r/>
      <w:bookmarkStart w:id="155" w:name="_Toc279701255"/>
      <w:r/>
      <w:bookmarkStart w:id="156" w:name="_Toc14115"/>
      <w:r/>
      <w:bookmarkStart w:id="157" w:name="_Toc23854"/>
      <w:r/>
      <w:bookmarkStart w:id="158" w:name="_Toc3638"/>
      <w:r/>
      <w:bookmarkStart w:id="159" w:name="_Toc259093684"/>
      <w:r>
        <w:rPr>
          <w:rFonts w:hint="eastAsia" w:ascii="宋体" w:hAnsi="宋体" w:cs="宋体"/>
          <w:b/>
          <w:color w:val="auto"/>
          <w:sz w:val="24"/>
          <w:szCs w:val="24"/>
          <w:highlight w:val="none"/>
        </w:rPr>
        <w:t xml:space="preserve">2.11 税费</w:t>
      </w:r>
      <w:bookmarkEnd w:id="152"/>
      <w:r/>
      <w:bookmarkEnd w:id="153"/>
      <w:r/>
      <w:bookmarkEnd w:id="154"/>
      <w:r/>
      <w:bookmarkEnd w:id="155"/>
      <w:r/>
      <w:bookmarkEnd w:id="156"/>
      <w:r/>
      <w:bookmarkEnd w:id="157"/>
      <w:r/>
      <w:bookmarkEnd w:id="158"/>
      <w:r/>
      <w:bookmarkEnd w:id="159"/>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60" w:name="_Toc14814"/>
      <w:r/>
      <w:bookmarkStart w:id="161" w:name="_Toc26883"/>
      <w:r/>
      <w:bookmarkStart w:id="162" w:name="_Toc7315"/>
      <w:r/>
      <w:bookmarkStart w:id="163" w:name="_Toc25525"/>
      <w:r/>
      <w:bookmarkStart w:id="164" w:name="_Toc487900368"/>
      <w:r/>
      <w:bookmarkStart w:id="165" w:name="_Toc259093687"/>
      <w:r/>
      <w:bookmarkStart w:id="166" w:name="_Toc279701258"/>
      <w:r/>
      <w:bookmarkStart w:id="167" w:name="_Toc30105"/>
      <w:r>
        <w:rPr>
          <w:rFonts w:hint="eastAsia" w:ascii="宋体" w:hAnsi="宋体" w:cs="宋体"/>
          <w:b/>
          <w:color w:val="auto"/>
          <w:sz w:val="24"/>
          <w:szCs w:val="24"/>
          <w:highlight w:val="none"/>
        </w:rPr>
        <w:t xml:space="preserve">2.12 乙方破产</w:t>
      </w:r>
      <w:bookmarkEnd w:id="160"/>
      <w:r/>
      <w:bookmarkEnd w:id="161"/>
      <w:r/>
      <w:bookmarkEnd w:id="162"/>
      <w:r/>
      <w:bookmarkEnd w:id="163"/>
      <w:r/>
      <w:bookmarkEnd w:id="164"/>
      <w:r/>
      <w:bookmarkEnd w:id="165"/>
      <w:r/>
      <w:bookmarkEnd w:id="166"/>
      <w:r/>
      <w:bookmarkEnd w:id="167"/>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68" w:name="_Toc23323"/>
      <w:r/>
      <w:bookmarkStart w:id="169" w:name="_Toc2016"/>
      <w:r/>
      <w:bookmarkStart w:id="170" w:name="_Toc1123"/>
      <w:r>
        <w:rPr>
          <w:rFonts w:hint="eastAsia" w:ascii="宋体" w:hAnsi="宋体" w:cs="宋体"/>
          <w:b/>
          <w:color w:val="auto"/>
          <w:sz w:val="24"/>
          <w:szCs w:val="24"/>
          <w:highlight w:val="none"/>
        </w:rPr>
        <w:t xml:space="preserve">2.13 合同中止、终止</w:t>
      </w:r>
      <w:bookmarkEnd w:id="168"/>
      <w:r/>
      <w:bookmarkEnd w:id="169"/>
      <w:r/>
      <w:bookmarkEnd w:id="170"/>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71" w:name="_Toc1969"/>
      <w:r/>
      <w:bookmarkStart w:id="172" w:name="_Toc17363"/>
      <w:r/>
      <w:bookmarkStart w:id="173" w:name="_Toc14525"/>
      <w:r>
        <w:rPr>
          <w:rFonts w:hint="eastAsia" w:ascii="宋体" w:hAnsi="宋体" w:cs="宋体"/>
          <w:b/>
          <w:color w:val="auto"/>
          <w:sz w:val="24"/>
          <w:szCs w:val="24"/>
          <w:highlight w:val="none"/>
        </w:rPr>
        <w:t xml:space="preserve">2.14 检验和验收</w:t>
      </w:r>
      <w:bookmarkEnd w:id="171"/>
      <w:r/>
      <w:bookmarkEnd w:id="172"/>
      <w:r/>
      <w:bookmarkEnd w:id="173"/>
      <w:r/>
      <w:r/>
    </w:p>
    <w:p>
      <w:pPr>
        <w:ind w:firstLine="480"/>
        <w:keepLines w:val="0"/>
        <w:keepNext w:val="0"/>
        <w:pageBreakBefore w:val="0"/>
        <w:spacing w:line="500" w:lineRule="exact"/>
        <w:widowControl w:val="off"/>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keepLines w:val="0"/>
        <w:keepNext w:val="0"/>
        <w:pageBreakBefore w:val="0"/>
        <w:spacing w:line="500" w:lineRule="exact"/>
        <w:widowControl w:val="off"/>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35"/>
      <w:r/>
      <w:bookmarkEnd w:id="136"/>
      <w:r/>
      <w:bookmarkEnd w:id="137"/>
      <w:r/>
      <w:bookmarkEnd w:id="138"/>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74" w:name="_Toc279701261"/>
      <w:r/>
      <w:bookmarkStart w:id="175" w:name="_Toc487900371"/>
      <w:r/>
      <w:bookmarkStart w:id="176" w:name="_Toc259093690"/>
      <w:r/>
      <w:bookmarkStart w:id="177" w:name="_Toc9808"/>
      <w:r/>
      <w:bookmarkStart w:id="178" w:name="_Toc2308"/>
      <w:r/>
      <w:bookmarkStart w:id="179" w:name="_Toc25198"/>
      <w:r/>
      <w:bookmarkStart w:id="180" w:name="_Toc12666"/>
      <w:r/>
      <w:bookmarkStart w:id="181" w:name="_Toc31892"/>
      <w:r>
        <w:rPr>
          <w:rFonts w:hint="eastAsia" w:ascii="宋体" w:hAnsi="宋体" w:cs="宋体"/>
          <w:b/>
          <w:color w:val="auto"/>
          <w:sz w:val="24"/>
          <w:szCs w:val="24"/>
          <w:highlight w:val="none"/>
        </w:rPr>
        <w:t xml:space="preserve">2.15 通知</w:t>
      </w:r>
      <w:bookmarkEnd w:id="174"/>
      <w:r/>
      <w:bookmarkEnd w:id="175"/>
      <w:r/>
      <w:bookmarkEnd w:id="176"/>
      <w:r>
        <w:rPr>
          <w:rFonts w:hint="eastAsia" w:ascii="宋体" w:hAnsi="宋体" w:cs="宋体"/>
          <w:b/>
          <w:color w:val="auto"/>
          <w:sz w:val="24"/>
          <w:szCs w:val="24"/>
          <w:highlight w:val="none"/>
        </w:rPr>
        <w:t xml:space="preserve">和送达</w:t>
      </w:r>
      <w:bookmarkEnd w:id="177"/>
      <w:r/>
      <w:bookmarkEnd w:id="178"/>
      <w:r/>
      <w:bookmarkEnd w:id="179"/>
      <w:r/>
      <w:bookmarkEnd w:id="180"/>
      <w:r/>
      <w:bookmarkEnd w:id="181"/>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bookmarkStart w:id="182" w:name="_Toc29220"/>
      <w:r/>
      <w:bookmarkStart w:id="183" w:name="_Toc7073"/>
      <w:r/>
      <w:bookmarkStart w:id="184" w:name="_Toc279701262"/>
      <w:r/>
      <w:bookmarkStart w:id="185" w:name="_Toc487900372"/>
      <w:r/>
      <w:bookmarkStart w:id="186" w:name="_Toc259093691"/>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182"/>
      <w:r/>
      <w:bookmarkEnd w:id="183"/>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bookmarkStart w:id="187" w:name="_Toc18401"/>
      <w:r/>
      <w:bookmarkStart w:id="188"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187"/>
      <w:r/>
      <w:bookmarkEnd w:id="188"/>
      <w:r/>
      <w:bookmarkEnd w:id="184"/>
      <w:r/>
      <w:bookmarkEnd w:id="185"/>
      <w:r/>
      <w:bookmarkEnd w:id="186"/>
      <w:r/>
      <w:r/>
    </w:p>
    <w:p>
      <w:pPr>
        <w:ind w:firstLine="482"/>
        <w:keepLines w:val="0"/>
        <w:keepNext w:val="0"/>
        <w:pageBreakBefore w:val="0"/>
        <w:spacing w:line="500" w:lineRule="exact"/>
        <w:widowControl w:val="off"/>
        <w:rPr>
          <w:rFonts w:hint="eastAsia" w:ascii="宋体" w:hAnsi="宋体" w:cs="宋体"/>
          <w:b/>
          <w:color w:val="auto"/>
          <w:sz w:val="24"/>
          <w:szCs w:val="24"/>
          <w:highlight w:val="none"/>
        </w:rPr>
      </w:pPr>
      <w:r/>
      <w:bookmarkStart w:id="189" w:name="_Toc20808"/>
      <w:r/>
      <w:bookmarkStart w:id="190" w:name="_Toc5063"/>
      <w:r/>
      <w:bookmarkStart w:id="191" w:name="_Toc259093692"/>
      <w:r/>
      <w:bookmarkStart w:id="192" w:name="_Toc487900373"/>
      <w:r/>
      <w:bookmarkStart w:id="193" w:name="_Toc28906"/>
      <w:r/>
      <w:bookmarkStart w:id="194" w:name="_Toc279701263"/>
      <w:r/>
      <w:bookmarkStart w:id="195" w:name="_Toc12254"/>
      <w:r/>
      <w:bookmarkStart w:id="196" w:name="_Toc27644"/>
      <w:r>
        <w:rPr>
          <w:rFonts w:hint="eastAsia" w:ascii="宋体" w:hAnsi="宋体" w:cs="宋体"/>
          <w:b/>
          <w:color w:val="auto"/>
          <w:sz w:val="24"/>
          <w:szCs w:val="24"/>
          <w:highlight w:val="none"/>
        </w:rPr>
        <w:t xml:space="preserve">2.16 合同使用的文字和适用的法律</w:t>
      </w:r>
      <w:bookmarkEnd w:id="189"/>
      <w:r/>
      <w:bookmarkEnd w:id="190"/>
      <w:r/>
      <w:bookmarkEnd w:id="191"/>
      <w:r/>
      <w:bookmarkEnd w:id="192"/>
      <w:r/>
      <w:bookmarkEnd w:id="193"/>
      <w:r/>
      <w:bookmarkEnd w:id="194"/>
      <w:r/>
      <w:bookmarkEnd w:id="195"/>
      <w:r/>
      <w:bookmarkEnd w:id="196"/>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keepLines w:val="0"/>
        <w:keepNext w:val="0"/>
        <w:pageBreakBefore w:val="0"/>
        <w:spacing w:line="50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2.17 履约保证金（若有）</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2.17.1 签订合同前，成交供应商须交纳成交合同总金额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%的履约保证金。</w:t>
      </w:r>
      <w:r/>
    </w:p>
    <w:p>
      <w:pPr>
        <w:ind w:firstLine="480"/>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keepLines w:val="0"/>
        <w:keepNext w:val="0"/>
        <w:pageBreakBefore w:val="0"/>
        <w:spacing w:line="500" w:lineRule="exact"/>
        <w:widowControl w:val="off"/>
        <w:rPr>
          <w:rFonts w:hint="eastAsia" w:ascii="宋体" w:hAnsi="宋体" w:cs="宋体"/>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color w:val="auto"/>
          <w:sz w:val="24"/>
          <w:szCs w:val="24"/>
          <w:highlight w:val="none"/>
        </w:rPr>
        <w:t xml:space="preserve">2.17.3 如果甲方未及时退还履约保证金，相关责任由甲乙双方在合同中自行约定。</w:t>
      </w:r>
      <w:bookmarkEnd w:id="25"/>
      <w:r/>
      <w:bookmarkEnd w:id="26"/>
      <w:r/>
      <w:bookmarkEnd w:id="27"/>
      <w:r/>
      <w:r/>
    </w:p>
    <w:p>
      <w:pPr>
        <w:jc w:val="center"/>
        <w:keepLines w:val="0"/>
        <w:keepNext w:val="0"/>
        <w:pageBreakBefore w:val="0"/>
        <w:spacing w:line="360" w:lineRule="auto"/>
        <w:widowControl w:val="off"/>
        <w:rPr>
          <w:rFonts w:hint="eastAsia" w:ascii="黑体" w:hAnsi="黑体" w:eastAsia="黑体"/>
          <w:color w:val="auto"/>
          <w:sz w:val="28"/>
          <w:highlight w:val="none"/>
        </w:rPr>
        <w:outlineLvl w:val="0"/>
      </w:pPr>
      <w:r/>
      <w:bookmarkStart w:id="197" w:name="_Toc11529"/>
      <w:r/>
      <w:bookmarkStart w:id="198" w:name="_Toc19193"/>
      <w:r/>
      <w:bookmarkStart w:id="199" w:name="_Toc24602"/>
      <w:r>
        <w:rPr>
          <w:rFonts w:hint="eastAsia" w:ascii="黑体" w:hAnsi="黑体" w:eastAsia="黑体"/>
          <w:color w:val="auto"/>
          <w:sz w:val="28"/>
          <w:highlight w:val="none"/>
        </w:rPr>
        <w:t xml:space="preserve">第六章</w:t>
      </w:r>
      <w:bookmarkStart w:id="200" w:name="_Toc11185"/>
      <w:r>
        <w:rPr>
          <w:rFonts w:hint="eastAsia" w:ascii="黑体" w:hAnsi="黑体" w:eastAsia="黑体"/>
          <w:color w:val="auto"/>
          <w:sz w:val="28"/>
          <w:highlight w:val="none"/>
        </w:rPr>
        <w:t xml:space="preserve"> </w:t>
      </w:r>
      <w:bookmarkEnd w:id="200"/>
      <w:r>
        <w:rPr>
          <w:rFonts w:hint="eastAsia" w:ascii="黑体" w:hAnsi="黑体" w:eastAsia="黑体"/>
          <w:color w:val="auto"/>
          <w:sz w:val="28"/>
          <w:highlight w:val="none"/>
        </w:rPr>
        <w:t xml:space="preserve">响应文件内容与格式</w:t>
      </w:r>
      <w:bookmarkEnd w:id="197"/>
      <w:r/>
      <w:r/>
    </w:p>
    <w:p>
      <w:pPr>
        <w:pStyle w:val="959"/>
        <w:ind w:firstLine="0"/>
        <w:spacing w:line="500" w:lineRule="exact"/>
        <w:rPr>
          <w:rFonts w:hint="eastAsia" w:eastAsia="宋体" w:cs="Times New Roman"/>
          <w:b/>
          <w:color w:val="auto"/>
          <w:sz w:val="28"/>
          <w:szCs w:val="28"/>
        </w:rPr>
      </w:pPr>
      <w:r>
        <w:rPr>
          <w:rFonts w:hint="eastAsia" w:eastAsia="宋体" w:cs="Times New Roman"/>
          <w:b/>
          <w:color w:val="auto"/>
          <w:sz w:val="28"/>
          <w:szCs w:val="28"/>
        </w:rPr>
        <w:t xml:space="preserve">第一部分  响应文件内容</w:t>
      </w:r>
      <w:r/>
    </w:p>
    <w:p>
      <w:pPr>
        <w:pStyle w:val="959"/>
        <w:ind w:firstLine="0"/>
        <w:spacing w:line="500" w:lineRule="exact"/>
        <w:rPr>
          <w:rFonts w:hint="eastAsia" w:eastAsia="宋体" w:cs="Times New Roman"/>
          <w:b/>
          <w:color w:val="auto"/>
          <w:sz w:val="28"/>
          <w:szCs w:val="28"/>
        </w:rPr>
      </w:pPr>
      <w:r>
        <w:rPr>
          <w:rFonts w:hint="eastAsia" w:eastAsia="宋体" w:cs="Times New Roman"/>
          <w:b/>
          <w:color w:val="auto"/>
          <w:sz w:val="28"/>
          <w:szCs w:val="28"/>
        </w:rPr>
        <w:t xml:space="preserve">一、资格证明文件</w:t>
      </w:r>
      <w:r/>
    </w:p>
    <w:tbl>
      <w:tblPr>
        <w:tblStyle w:val="948"/>
        <w:tblW w:w="96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57" w:type="dxa"/>
        </w:tblCellMar>
        <w:tblLook w:val="04A0" w:firstRow="1" w:lastRow="0" w:firstColumn="1" w:lastColumn="0" w:noHBand="0" w:noVBand="1"/>
      </w:tblPr>
      <w:tblGrid>
        <w:gridCol w:w="710"/>
        <w:gridCol w:w="1675"/>
        <w:gridCol w:w="5791"/>
        <w:gridCol w:w="1459"/>
      </w:tblGrid>
      <w:tr>
        <w:trPr>
          <w:jc w:val="center"/>
          <w:trHeight w:val="656"/>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
                <w:color w:val="auto"/>
              </w:rPr>
            </w:pPr>
            <w:r>
              <w:rPr>
                <w:rFonts w:hint="eastAsia" w:ascii="宋体" w:hAnsi="宋体" w:cs="宋体"/>
                <w:b/>
                <w:color w:val="auto"/>
              </w:rPr>
              <w:t xml:space="preserve">序号</w:t>
            </w:r>
            <w:r/>
          </w:p>
        </w:tc>
        <w:tc>
          <w:tcPr>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
                <w:color w:val="auto"/>
              </w:rPr>
            </w:pPr>
            <w:r>
              <w:rPr>
                <w:rFonts w:hint="eastAsia" w:ascii="宋体" w:hAnsi="宋体" w:cs="宋体"/>
                <w:b/>
                <w:color w:val="auto"/>
              </w:rPr>
              <w:t xml:space="preserve">评审项目</w:t>
            </w:r>
            <w:r/>
          </w:p>
        </w:tc>
        <w:tc>
          <w:tcPr>
            <w:tcW w:w="5791" w:type="dxa"/>
            <w:vAlign w:val="center"/>
            <w:textDirection w:val="lrTb"/>
            <w:noWrap w:val="false"/>
          </w:tcPr>
          <w:p>
            <w:pPr>
              <w:pStyle w:val="959"/>
              <w:jc w:val="center"/>
              <w:keepLines w:val="0"/>
              <w:keepNext w:val="0"/>
              <w:pageBreakBefore w:val="0"/>
              <w:spacing w:before="0" w:after="0" w:line="440" w:lineRule="exact"/>
              <w:widowControl w:val="off"/>
              <w:rPr>
                <w:rFonts w:ascii="宋体" w:hAnsi="宋体" w:cs="宋体"/>
                <w:b/>
                <w:color w:val="auto"/>
              </w:rPr>
            </w:pPr>
            <w:r>
              <w:rPr>
                <w:rFonts w:hint="eastAsia" w:ascii="宋体" w:hAnsi="宋体" w:cs="宋体"/>
                <w:b/>
                <w:color w:val="auto"/>
              </w:rPr>
              <w:t xml:space="preserve">评审要求</w:t>
            </w:r>
            <w:r/>
          </w:p>
        </w:tc>
        <w:tc>
          <w:tcPr>
            <w:tcW w:w="1459"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
                <w:color w:val="auto"/>
              </w:rPr>
            </w:pPr>
            <w:r>
              <w:rPr>
                <w:rFonts w:hint="eastAsia" w:ascii="宋体" w:hAnsi="宋体" w:cs="宋体"/>
                <w:b/>
                <w:color w:val="auto"/>
              </w:rPr>
              <w:t xml:space="preserve">审查因素</w:t>
            </w:r>
            <w:r/>
          </w:p>
        </w:tc>
      </w:tr>
      <w:tr>
        <w:trPr>
          <w:jc w:val="center"/>
          <w:trHeight w:val="349"/>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1</w:t>
            </w:r>
            <w:r/>
          </w:p>
        </w:tc>
        <w:tc>
          <w:tcPr>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bCs/>
                <w:color w:val="auto"/>
              </w:rPr>
            </w:pPr>
            <w:r>
              <w:rPr>
                <w:rFonts w:hint="eastAsia" w:ascii="宋体" w:hAnsi="宋体"/>
                <w:bCs/>
                <w:color w:val="auto"/>
                <w:lang w:val="zh-CN"/>
              </w:rPr>
              <w:t xml:space="preserve">资格声明</w:t>
            </w:r>
            <w:r>
              <w:rPr>
                <w:rFonts w:hint="eastAsia" w:ascii="宋体" w:hAnsi="宋体"/>
                <w:bCs/>
                <w:color w:val="auto"/>
              </w:rPr>
              <w:t xml:space="preserve">函</w:t>
            </w:r>
            <w:r/>
          </w:p>
        </w:tc>
        <w:tc>
          <w:tcPr>
            <w:tcW w:w="5791" w:type="dxa"/>
            <w:vAlign w:val="center"/>
            <w:textDirection w:val="lrTb"/>
            <w:noWrap w:val="false"/>
          </w:tcPr>
          <w:p>
            <w:pPr>
              <w:pStyle w:val="959"/>
              <w:ind w:firstLine="0"/>
              <w:jc w:val="both"/>
              <w:keepLines w:val="0"/>
              <w:keepNext w:val="0"/>
              <w:pageBreakBefore w:val="0"/>
              <w:spacing w:before="0" w:after="0" w:line="440" w:lineRule="exact"/>
              <w:widowControl w:val="off"/>
              <w:rPr>
                <w:rFonts w:ascii="宋体" w:hAnsi="宋体" w:cs="宋体"/>
                <w:color w:val="auto"/>
              </w:rPr>
            </w:pPr>
            <w:r>
              <w:rPr>
                <w:rFonts w:hint="eastAsia" w:ascii="宋体" w:hAnsi="宋体"/>
                <w:bCs/>
                <w:color w:val="auto"/>
                <w:lang w:val="zh-CN"/>
              </w:rPr>
              <w:t xml:space="preserve">提供《关于资格的声明函》</w:t>
            </w:r>
            <w:r>
              <w:rPr>
                <w:rFonts w:hint="eastAsia" w:ascii="宋体" w:hAnsi="宋体" w:cs="宋体"/>
                <w:b/>
                <w:bCs/>
                <w:color w:val="auto"/>
              </w:rPr>
              <w:t xml:space="preserve">（给定格式）</w:t>
            </w:r>
            <w:r>
              <w:rPr>
                <w:rFonts w:hint="eastAsia" w:ascii="宋体" w:hAnsi="宋体" w:cs="宋体"/>
                <w:color w:val="auto"/>
              </w:rPr>
              <w:t xml:space="preserve">。</w:t>
            </w:r>
            <w:r/>
          </w:p>
        </w:tc>
        <w:tc>
          <w:tcPr>
            <w:tcW w:w="1459" w:type="dxa"/>
            <w:vAlign w:val="center"/>
            <w:vMerge w:val="restart"/>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满足《中华人民共和国政府采购法》第二十二条规定</w:t>
            </w:r>
            <w:r/>
          </w:p>
        </w:tc>
      </w:tr>
      <w:tr>
        <w:trPr>
          <w:jc w:val="center"/>
          <w:trHeight w:val="739"/>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2</w:t>
            </w:r>
            <w:r/>
          </w:p>
        </w:tc>
        <w:tc>
          <w:tcPr>
            <w:shd w:val="clear" w:color="auto" w:fill="auto"/>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bCs/>
                <w:color w:val="auto"/>
                <w:lang w:val="zh-CN"/>
              </w:rPr>
              <w:t xml:space="preserve">被授权代表身份证明</w:t>
            </w:r>
            <w:r/>
          </w:p>
        </w:tc>
        <w:tc>
          <w:tcPr>
            <w:shd w:val="clear" w:color="auto" w:fill="auto"/>
            <w:tcW w:w="5791" w:type="dxa"/>
            <w:vAlign w:val="center"/>
            <w:textDirection w:val="lrTb"/>
            <w:noWrap w:val="false"/>
          </w:tcPr>
          <w:p>
            <w:pPr>
              <w:pStyle w:val="959"/>
              <w:ind w:firstLine="0"/>
              <w:jc w:val="both"/>
              <w:keepLines w:val="0"/>
              <w:keepNext w:val="0"/>
              <w:pageBreakBefore w:val="0"/>
              <w:spacing w:before="0" w:after="0" w:line="440" w:lineRule="exact"/>
              <w:widowControl w:val="off"/>
              <w:rPr>
                <w:rFonts w:ascii="宋体" w:hAnsi="宋体" w:cs="宋体"/>
                <w:color w:val="auto"/>
              </w:rPr>
            </w:pPr>
            <w:r>
              <w:rPr>
                <w:rFonts w:hint="eastAsia" w:ascii="宋体" w:hAnsi="宋体"/>
                <w:bCs/>
                <w:color w:val="auto"/>
                <w:lang w:val="zh-CN"/>
              </w:rPr>
              <w:t xml:space="preserve">提供</w:t>
            </w:r>
            <w:r>
              <w:rPr>
                <w:rFonts w:hint="eastAsia" w:ascii="宋体" w:hAnsi="宋体" w:cs="宋体"/>
                <w:color w:val="auto"/>
              </w:rPr>
              <w:t xml:space="preserve">《法定代表人授权委托书》</w:t>
            </w:r>
            <w:r>
              <w:rPr>
                <w:rFonts w:hint="eastAsia" w:ascii="宋体" w:hAnsi="宋体" w:cs="宋体"/>
                <w:b/>
                <w:bCs/>
                <w:color w:val="auto"/>
              </w:rPr>
              <w:t xml:space="preserve">（给定格式；供应商</w:t>
            </w:r>
            <w:r>
              <w:rPr>
                <w:rFonts w:hint="eastAsia" w:ascii="宋体" w:hAnsi="宋体"/>
                <w:b/>
                <w:bCs/>
                <w:color w:val="auto"/>
                <w:lang w:val="zh-CN"/>
              </w:rPr>
              <w:t xml:space="preserve">法定代表人亲自参加</w:t>
            </w:r>
            <w:r>
              <w:rPr>
                <w:rFonts w:hint="eastAsia" w:ascii="宋体" w:hAnsi="宋体" w:cs="宋体"/>
                <w:b/>
                <w:bCs/>
                <w:color w:val="auto"/>
              </w:rPr>
              <w:t xml:space="preserve">或供应商是自然人</w:t>
            </w:r>
            <w:r>
              <w:rPr>
                <w:rFonts w:hint="eastAsia" w:ascii="宋体" w:hAnsi="宋体"/>
                <w:b/>
                <w:bCs/>
                <w:color w:val="auto"/>
                <w:lang w:val="zh-CN"/>
              </w:rPr>
              <w:t xml:space="preserve">的</w:t>
            </w:r>
            <w:r>
              <w:rPr>
                <w:rFonts w:hint="eastAsia" w:ascii="宋体" w:hAnsi="宋体" w:cs="宋体"/>
                <w:b/>
                <w:bCs/>
                <w:color w:val="auto"/>
              </w:rPr>
              <w:t xml:space="preserve">，可不提供）</w:t>
            </w:r>
            <w:r>
              <w:rPr>
                <w:rFonts w:hint="eastAsia" w:ascii="宋体" w:hAnsi="宋体" w:cs="宋体"/>
                <w:color w:val="auto"/>
              </w:rPr>
              <w:t xml:space="preserve">。</w:t>
            </w:r>
            <w:r/>
          </w:p>
        </w:tc>
        <w:tc>
          <w:tcPr>
            <w:tcW w:w="1459" w:type="dxa"/>
            <w:vAlign w:val="center"/>
            <w:vMerge w:val="continue"/>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ascii="宋体" w:hAnsi="宋体" w:cs="宋体"/>
                <w:color w:val="auto"/>
              </w:rPr>
            </w:r>
            <w:r/>
          </w:p>
        </w:tc>
      </w:tr>
      <w:tr>
        <w:trPr>
          <w:jc w:val="center"/>
          <w:trHeight w:val="1369"/>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3</w:t>
            </w:r>
            <w:r/>
          </w:p>
        </w:tc>
        <w:tc>
          <w:tcPr>
            <w:shd w:val="clear" w:color="auto" w:fill="auto"/>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hint="eastAsia" w:ascii="宋体" w:hAnsi="宋体" w:eastAsia="宋体" w:cs="Times New Roman"/>
                <w:bCs/>
                <w:color w:val="auto"/>
                <w:lang w:val="zh-CN"/>
              </w:rPr>
            </w:pPr>
            <w:r>
              <w:rPr>
                <w:rFonts w:hint="eastAsia" w:ascii="宋体" w:hAnsi="宋体" w:eastAsia="宋体" w:cs="Times New Roman"/>
                <w:bCs/>
                <w:color w:val="auto"/>
                <w:lang w:val="zh-CN"/>
              </w:rPr>
              <w:t xml:space="preserve">具有独立承担民事责任能力</w:t>
            </w:r>
            <w:r/>
          </w:p>
        </w:tc>
        <w:tc>
          <w:tcPr>
            <w:shd w:val="clear" w:color="auto" w:fill="auto"/>
            <w:tcW w:w="5791" w:type="dxa"/>
            <w:vAlign w:val="center"/>
            <w:textDirection w:val="lrTb"/>
            <w:noWrap w:val="false"/>
          </w:tcPr>
          <w:p>
            <w:pPr>
              <w:pStyle w:val="959"/>
              <w:ind w:firstLine="0"/>
              <w:jc w:val="both"/>
              <w:keepLines w:val="0"/>
              <w:keepNext w:val="0"/>
              <w:pageBreakBefore w:val="0"/>
              <w:spacing w:before="0" w:after="0" w:line="440" w:lineRule="exact"/>
              <w:widowControl w:val="off"/>
              <w:rPr>
                <w:rFonts w:ascii="宋体" w:hAnsi="宋体" w:cs="宋体"/>
                <w:color w:val="auto"/>
              </w:rPr>
            </w:pPr>
            <w:r>
              <w:rPr>
                <w:rFonts w:hint="eastAsia" w:ascii="宋体" w:hAnsi="宋体"/>
                <w:bCs/>
                <w:color w:val="auto"/>
                <w:lang w:val="zh-CN"/>
              </w:rPr>
              <w:t xml:space="preserve">提供供应商营业执照或法人（登记）证书，供应商为自然人的提供自然人身份证</w:t>
            </w:r>
            <w:r>
              <w:rPr>
                <w:rFonts w:hint="eastAsia" w:ascii="宋体" w:hAnsi="宋体"/>
                <w:bCs/>
                <w:color w:val="auto"/>
              </w:rPr>
              <w:t xml:space="preserve">明</w:t>
            </w:r>
            <w:r>
              <w:rPr>
                <w:rFonts w:hint="eastAsia" w:ascii="宋体" w:hAnsi="宋体" w:cs="宋体"/>
                <w:b/>
                <w:bCs/>
                <w:color w:val="auto"/>
              </w:rPr>
              <w:t xml:space="preserve">（</w:t>
            </w:r>
            <w:r>
              <w:rPr>
                <w:rFonts w:hint="eastAsia" w:ascii="宋体" w:hAnsi="宋体" w:cs="宋体"/>
                <w:b/>
                <w:bCs/>
                <w:color w:val="auto"/>
                <w:lang w:val="zh-CN"/>
              </w:rPr>
              <w:t xml:space="preserve">供应商</w:t>
            </w:r>
            <w:r>
              <w:rPr>
                <w:rFonts w:hint="eastAsia" w:ascii="宋体" w:hAnsi="宋体" w:cs="宋体"/>
                <w:b/>
                <w:bCs/>
                <w:color w:val="auto"/>
              </w:rPr>
              <w:t xml:space="preserve">如是允许以分支机构身份参加采购活动的，提供</w:t>
            </w:r>
            <w:r>
              <w:rPr>
                <w:rFonts w:hint="eastAsia" w:ascii="宋体" w:hAnsi="宋体" w:cs="宋体"/>
                <w:b/>
                <w:bCs/>
                <w:color w:val="auto"/>
                <w:lang w:val="zh-CN"/>
              </w:rPr>
              <w:t xml:space="preserve">供应商</w:t>
            </w:r>
            <w:r>
              <w:rPr>
                <w:rFonts w:hint="eastAsia" w:ascii="宋体" w:hAnsi="宋体" w:cs="宋体"/>
                <w:b/>
                <w:bCs/>
                <w:color w:val="auto"/>
              </w:rPr>
              <w:t xml:space="preserve">分支机构的营业执照）</w:t>
            </w:r>
            <w:r>
              <w:rPr>
                <w:rFonts w:hint="eastAsia" w:ascii="宋体" w:hAnsi="宋体" w:cs="宋体"/>
                <w:color w:val="auto"/>
              </w:rPr>
              <w:t xml:space="preserve">。</w:t>
            </w:r>
            <w:r/>
          </w:p>
        </w:tc>
        <w:tc>
          <w:tcPr>
            <w:tcW w:w="1459" w:type="dxa"/>
            <w:vAlign w:val="center"/>
            <w:vMerge w:val="continue"/>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ascii="宋体" w:hAnsi="宋体" w:cs="宋体"/>
                <w:color w:val="auto"/>
              </w:rPr>
            </w:r>
            <w:r/>
          </w:p>
        </w:tc>
      </w:tr>
      <w:tr>
        <w:trPr>
          <w:jc w:val="center"/>
          <w:trHeight w:val="567"/>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4</w:t>
            </w:r>
            <w:r/>
          </w:p>
        </w:tc>
        <w:tc>
          <w:tcPr>
            <w:shd w:val="clear" w:color="auto" w:fill="auto"/>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hint="eastAsia" w:ascii="宋体" w:hAnsi="宋体" w:eastAsia="宋体" w:cs="Times New Roman"/>
                <w:bCs/>
                <w:color w:val="auto"/>
                <w:lang w:val="zh-CN"/>
              </w:rPr>
            </w:pPr>
            <w:r>
              <w:rPr>
                <w:rFonts w:hint="eastAsia" w:ascii="宋体" w:hAnsi="宋体" w:eastAsia="宋体" w:cs="Times New Roman"/>
                <w:bCs/>
                <w:color w:val="auto"/>
                <w:lang w:val="zh-CN"/>
              </w:rPr>
              <w:t xml:space="preserve">具有良好的商业信誉和健全的财务会计制度</w:t>
            </w:r>
            <w:r/>
          </w:p>
        </w:tc>
        <w:tc>
          <w:tcPr>
            <w:shd w:val="clear" w:color="auto" w:fill="auto"/>
            <w:tcW w:w="5791" w:type="dxa"/>
            <w:vAlign w:val="center"/>
            <w:textDirection w:val="lrTb"/>
            <w:noWrap w:val="false"/>
          </w:tcPr>
          <w:p>
            <w:pPr>
              <w:pStyle w:val="959"/>
              <w:ind w:firstLine="0"/>
              <w:jc w:val="both"/>
              <w:keepLines w:val="0"/>
              <w:keepNext w:val="0"/>
              <w:pageBreakBefore w:val="0"/>
              <w:spacing w:before="0" w:after="0" w:line="440" w:lineRule="exact"/>
              <w:widowControl w:val="off"/>
              <w:rPr>
                <w:rFonts w:ascii="宋体" w:hAnsi="宋体" w:cs="宋体"/>
                <w:color w:val="auto"/>
              </w:rPr>
            </w:pPr>
            <w:r>
              <w:rPr>
                <w:rFonts w:hint="eastAsia" w:ascii="宋体" w:hAnsi="宋体"/>
                <w:bCs/>
                <w:color w:val="auto"/>
                <w:lang w:val="zh-CN"/>
              </w:rPr>
              <w:t xml:space="preserve">提供银行出具的资信证明（若供应商为法人的须提供其基本开户银行出具的资信证明）；或供应商近十二个月中任意一个月份</w:t>
            </w:r>
            <w:r>
              <w:rPr>
                <w:rFonts w:hint="eastAsia" w:ascii="宋体" w:hAnsi="宋体" w:cs="宋体"/>
                <w:color w:val="auto"/>
                <w:lang w:val="zh-CN"/>
              </w:rPr>
              <w:t xml:space="preserve">（</w:t>
            </w:r>
            <w:r>
              <w:rPr>
                <w:rFonts w:hint="eastAsia" w:ascii="宋体" w:hAnsi="宋体" w:cs="宋体"/>
                <w:color w:val="auto"/>
              </w:rPr>
              <w:t xml:space="preserve">不含报价当月</w:t>
            </w:r>
            <w:r>
              <w:rPr>
                <w:rFonts w:hint="eastAsia" w:ascii="宋体" w:hAnsi="宋体" w:cs="宋体"/>
                <w:color w:val="auto"/>
                <w:lang w:val="zh-CN"/>
              </w:rPr>
              <w:t xml:space="preserve">）</w:t>
            </w:r>
            <w:r>
              <w:rPr>
                <w:rFonts w:hint="eastAsia" w:ascii="宋体" w:hAnsi="宋体"/>
                <w:bCs/>
                <w:color w:val="auto"/>
                <w:lang w:val="zh-CN"/>
              </w:rPr>
              <w:t xml:space="preserve">的财务状况报告（须包含资产负债表和利润表）；或由会计师事务所出具的近两年中任意一个年度的审计报告和所附已审财务报告。</w:t>
            </w:r>
            <w:r/>
          </w:p>
        </w:tc>
        <w:tc>
          <w:tcPr>
            <w:tcW w:w="1459" w:type="dxa"/>
            <w:vAlign w:val="center"/>
            <w:vMerge w:val="continue"/>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ascii="宋体" w:hAnsi="宋体" w:cs="宋体"/>
                <w:color w:val="auto"/>
              </w:rPr>
            </w:r>
            <w:r/>
          </w:p>
        </w:tc>
      </w:tr>
      <w:tr>
        <w:trPr>
          <w:jc w:val="center"/>
          <w:trHeight w:val="567"/>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5</w:t>
            </w:r>
            <w:r/>
          </w:p>
        </w:tc>
        <w:tc>
          <w:tcPr>
            <w:shd w:val="clear" w:color="auto" w:fill="auto"/>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hint="eastAsia" w:ascii="宋体" w:hAnsi="宋体" w:eastAsia="宋体" w:cs="Times New Roman"/>
                <w:bCs/>
                <w:color w:val="auto"/>
                <w:lang w:val="zh-CN"/>
              </w:rPr>
            </w:pPr>
            <w:r>
              <w:rPr>
                <w:rFonts w:hint="eastAsia" w:ascii="宋体" w:hAnsi="宋体" w:eastAsia="宋体" w:cs="Times New Roman"/>
                <w:bCs/>
                <w:color w:val="auto"/>
                <w:lang w:val="zh-CN"/>
              </w:rPr>
              <w:t xml:space="preserve">有依法缴纳税收的良好记录</w:t>
            </w:r>
            <w:r/>
          </w:p>
        </w:tc>
        <w:tc>
          <w:tcPr>
            <w:shd w:val="clear" w:color="auto" w:fill="auto"/>
            <w:tcW w:w="5791" w:type="dxa"/>
            <w:vAlign w:val="center"/>
            <w:textDirection w:val="lrTb"/>
            <w:noWrap w:val="false"/>
          </w:tcPr>
          <w:p>
            <w:pPr>
              <w:pStyle w:val="959"/>
              <w:ind w:firstLine="0"/>
              <w:jc w:val="both"/>
              <w:keepLines w:val="0"/>
              <w:keepNext w:val="0"/>
              <w:pageBreakBefore w:val="0"/>
              <w:spacing w:before="0" w:after="0" w:line="440" w:lineRule="exact"/>
              <w:widowControl w:val="off"/>
              <w:rPr>
                <w:rFonts w:ascii="宋体" w:hAnsi="宋体" w:cs="宋体"/>
                <w:color w:val="auto"/>
              </w:rPr>
            </w:pPr>
            <w:r>
              <w:rPr>
                <w:rFonts w:hint="eastAsia" w:ascii="宋体" w:hAnsi="宋体"/>
                <w:bCs/>
                <w:color w:val="auto"/>
                <w:lang w:val="zh-CN"/>
              </w:rPr>
              <w:t xml:space="preserve">提供供应商</w:t>
            </w:r>
            <w:r>
              <w:rPr>
                <w:rFonts w:hint="eastAsia" w:ascii="宋体" w:hAnsi="宋体" w:cs="宋体"/>
                <w:color w:val="auto"/>
                <w:lang w:val="zh-CN"/>
              </w:rPr>
              <w:t xml:space="preserve">依法缴纳近十二个月中任意一个月份（</w:t>
            </w:r>
            <w:r>
              <w:rPr>
                <w:rFonts w:hint="eastAsia" w:ascii="宋体" w:hAnsi="宋体" w:cs="宋体"/>
                <w:color w:val="auto"/>
              </w:rPr>
              <w:t xml:space="preserve">不含报价当月</w:t>
            </w:r>
            <w:r>
              <w:rPr>
                <w:rFonts w:hint="eastAsia" w:ascii="宋体" w:hAnsi="宋体" w:cs="宋体"/>
                <w:color w:val="auto"/>
                <w:lang w:val="zh-CN"/>
              </w:rPr>
              <w:t xml:space="preserve">）税收的相关材料</w:t>
            </w:r>
            <w:r>
              <w:rPr>
                <w:rFonts w:hint="eastAsia" w:ascii="宋体" w:hAnsi="宋体" w:cs="宋体"/>
                <w:b/>
                <w:bCs/>
                <w:color w:val="auto"/>
                <w:lang w:val="zh-CN"/>
              </w:rPr>
              <w:t xml:space="preserve">（提供相关主管部门证明或银行代扣证明）</w:t>
            </w:r>
            <w:r>
              <w:rPr>
                <w:rFonts w:hint="eastAsia" w:ascii="宋体" w:hAnsi="宋体" w:cs="宋体"/>
                <w:color w:val="auto"/>
              </w:rPr>
              <w:t xml:space="preserve">。</w:t>
            </w:r>
            <w:r/>
          </w:p>
        </w:tc>
        <w:tc>
          <w:tcPr>
            <w:tcW w:w="1459" w:type="dxa"/>
            <w:vAlign w:val="center"/>
            <w:vMerge w:val="continue"/>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ascii="宋体" w:hAnsi="宋体" w:cs="宋体"/>
                <w:color w:val="auto"/>
              </w:rPr>
            </w:r>
            <w:r/>
          </w:p>
        </w:tc>
      </w:tr>
      <w:tr>
        <w:trPr>
          <w:jc w:val="center"/>
          <w:trHeight w:val="567"/>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6</w:t>
            </w:r>
            <w:r/>
          </w:p>
        </w:tc>
        <w:tc>
          <w:tcPr>
            <w:shd w:val="clear" w:color="auto" w:fill="auto"/>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hint="eastAsia" w:ascii="宋体" w:hAnsi="宋体" w:eastAsia="宋体" w:cs="Times New Roman"/>
                <w:bCs/>
                <w:color w:val="auto"/>
                <w:lang w:val="zh-CN"/>
              </w:rPr>
            </w:pPr>
            <w:r>
              <w:rPr>
                <w:rFonts w:hint="eastAsia" w:ascii="宋体" w:hAnsi="宋体" w:eastAsia="宋体" w:cs="Times New Roman"/>
                <w:bCs/>
                <w:color w:val="auto"/>
                <w:lang w:val="zh-CN"/>
              </w:rPr>
              <w:t xml:space="preserve">有依法缴纳社会保障资金的良好记录</w:t>
            </w:r>
            <w:r/>
          </w:p>
        </w:tc>
        <w:tc>
          <w:tcPr>
            <w:shd w:val="clear" w:color="auto" w:fill="auto"/>
            <w:tcW w:w="5791" w:type="dxa"/>
            <w:vAlign w:val="center"/>
            <w:textDirection w:val="lrTb"/>
            <w:noWrap w:val="false"/>
          </w:tcPr>
          <w:p>
            <w:pPr>
              <w:pStyle w:val="959"/>
              <w:ind w:firstLine="0"/>
              <w:jc w:val="both"/>
              <w:keepLines w:val="0"/>
              <w:keepNext w:val="0"/>
              <w:pageBreakBefore w:val="0"/>
              <w:spacing w:before="0" w:after="0" w:line="440" w:lineRule="exact"/>
              <w:widowControl w:val="off"/>
              <w:rPr>
                <w:rFonts w:ascii="宋体" w:hAnsi="宋体" w:cs="宋体"/>
                <w:color w:val="auto"/>
              </w:rPr>
            </w:pPr>
            <w:r>
              <w:rPr>
                <w:rFonts w:hint="eastAsia" w:ascii="宋体" w:hAnsi="宋体"/>
                <w:bCs/>
                <w:color w:val="auto"/>
                <w:lang w:val="zh-CN"/>
              </w:rPr>
              <w:t xml:space="preserve">提供供应商依法缴纳近十二个月中任意一个月份</w:t>
            </w:r>
            <w:r>
              <w:rPr>
                <w:rFonts w:hint="eastAsia" w:ascii="宋体" w:hAnsi="宋体" w:cs="宋体"/>
                <w:color w:val="auto"/>
                <w:lang w:val="zh-CN"/>
              </w:rPr>
              <w:t xml:space="preserve">（</w:t>
            </w:r>
            <w:r>
              <w:rPr>
                <w:rFonts w:hint="eastAsia" w:ascii="宋体" w:hAnsi="宋体" w:cs="宋体"/>
                <w:color w:val="auto"/>
              </w:rPr>
              <w:t xml:space="preserve">不含报价当月</w:t>
            </w:r>
            <w:r>
              <w:rPr>
                <w:rFonts w:hint="eastAsia" w:ascii="宋体" w:hAnsi="宋体" w:cs="宋体"/>
                <w:color w:val="auto"/>
                <w:lang w:val="zh-CN"/>
              </w:rPr>
              <w:t xml:space="preserve">）</w:t>
            </w:r>
            <w:r>
              <w:rPr>
                <w:rFonts w:hint="eastAsia" w:ascii="宋体" w:hAnsi="宋体"/>
                <w:bCs/>
                <w:color w:val="auto"/>
                <w:lang w:val="zh-CN"/>
              </w:rPr>
              <w:t xml:space="preserve">社会保障资金的相关材料</w:t>
            </w:r>
            <w:r>
              <w:rPr>
                <w:rFonts w:hint="eastAsia" w:ascii="宋体" w:hAnsi="宋体"/>
                <w:b/>
                <w:color w:val="auto"/>
                <w:lang w:val="zh-CN"/>
              </w:rPr>
              <w:t xml:space="preserve">（提供相关主管部门证明或银行代扣证明）</w:t>
            </w:r>
            <w:r>
              <w:rPr>
                <w:rFonts w:hint="eastAsia" w:ascii="宋体" w:hAnsi="宋体" w:cs="宋体"/>
                <w:color w:val="auto"/>
              </w:rPr>
              <w:t xml:space="preserve">。</w:t>
            </w:r>
            <w:r/>
          </w:p>
        </w:tc>
        <w:tc>
          <w:tcPr>
            <w:tcW w:w="1459" w:type="dxa"/>
            <w:vAlign w:val="center"/>
            <w:vMerge w:val="continue"/>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ascii="宋体" w:hAnsi="宋体" w:cs="宋体"/>
                <w:color w:val="auto"/>
              </w:rPr>
            </w:r>
            <w:r/>
          </w:p>
        </w:tc>
      </w:tr>
      <w:tr>
        <w:trPr>
          <w:jc w:val="center"/>
          <w:trHeight w:val="567"/>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7</w:t>
            </w:r>
            <w:r/>
          </w:p>
        </w:tc>
        <w:tc>
          <w:tcPr>
            <w:shd w:val="clear" w:color="auto" w:fill="auto"/>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bCs/>
                <w:color w:val="auto"/>
                <w:lang w:val="zh-CN"/>
              </w:rPr>
            </w:pPr>
            <w:r>
              <w:rPr>
                <w:rFonts w:hint="eastAsia" w:ascii="宋体" w:hAnsi="宋体"/>
                <w:bCs/>
                <w:color w:val="auto"/>
                <w:lang w:val="zh-CN"/>
              </w:rPr>
              <w:t xml:space="preserve">无不良信用</w:t>
            </w:r>
            <w:r/>
          </w:p>
          <w:p>
            <w:pPr>
              <w:pStyle w:val="959"/>
              <w:ind w:firstLine="0"/>
              <w:jc w:val="center"/>
              <w:keepLines w:val="0"/>
              <w:keepNext w:val="0"/>
              <w:pageBreakBefore w:val="0"/>
              <w:spacing w:before="0" w:after="0" w:line="440" w:lineRule="exact"/>
              <w:widowControl w:val="off"/>
              <w:rPr>
                <w:rFonts w:ascii="宋体" w:hAnsi="宋体"/>
                <w:bCs/>
                <w:color w:val="auto"/>
                <w:lang w:val="zh-CN"/>
              </w:rPr>
            </w:pPr>
            <w:r>
              <w:rPr>
                <w:rFonts w:hint="eastAsia" w:ascii="宋体" w:hAnsi="宋体"/>
                <w:bCs/>
                <w:color w:val="auto"/>
                <w:lang w:val="zh-CN"/>
              </w:rPr>
              <w:t xml:space="preserve">记录</w:t>
            </w:r>
            <w:r/>
          </w:p>
        </w:tc>
        <w:tc>
          <w:tcPr>
            <w:shd w:val="clear" w:color="auto" w:fill="auto"/>
            <w:tcW w:w="5791" w:type="dxa"/>
            <w:vAlign w:val="center"/>
            <w:textDirection w:val="lrTb"/>
            <w:noWrap w:val="false"/>
          </w:tcPr>
          <w:p>
            <w:pPr>
              <w:pStyle w:val="959"/>
              <w:ind w:firstLine="0"/>
              <w:jc w:val="both"/>
              <w:keepLines w:val="0"/>
              <w:keepNext w:val="0"/>
              <w:pageBreakBefore w:val="0"/>
              <w:spacing w:before="0" w:after="0" w:line="440" w:lineRule="exact"/>
              <w:widowControl w:val="off"/>
              <w:rPr>
                <w:rFonts w:ascii="宋体" w:hAnsi="宋体" w:cs="宋体"/>
                <w:color w:val="auto"/>
              </w:rPr>
            </w:pPr>
            <w:r>
              <w:rPr>
                <w:rFonts w:hint="eastAsia" w:ascii="宋体" w:hAnsi="宋体" w:cs="宋体"/>
                <w:bCs/>
                <w:color w:val="auto"/>
              </w:rPr>
              <w:t xml:space="preserve">未被“信用中国”、中国政府采购网列入失信被执行人、重大税收违法失信主体、政府采购严重违法失信行为记录名单</w:t>
            </w:r>
            <w:r>
              <w:rPr>
                <w:rFonts w:hint="eastAsia" w:ascii="宋体" w:hAnsi="宋体"/>
                <w:b/>
                <w:color w:val="auto"/>
                <w:lang w:val="zh-CN"/>
              </w:rPr>
              <w:t xml:space="preserve">（</w:t>
            </w:r>
            <w:r>
              <w:rPr>
                <w:rFonts w:ascii="宋体" w:hAnsi="宋体"/>
                <w:b/>
                <w:color w:val="auto"/>
                <w:lang w:val="zh-CN"/>
              </w:rPr>
              <w:t xml:space="preserve">若</w:t>
            </w:r>
            <w:r>
              <w:rPr>
                <w:rFonts w:hint="eastAsia" w:ascii="宋体" w:hAnsi="宋体"/>
                <w:b/>
                <w:color w:val="auto"/>
                <w:lang w:val="zh-CN"/>
              </w:rPr>
              <w:t xml:space="preserve">供应商</w:t>
            </w:r>
            <w:r>
              <w:rPr>
                <w:rFonts w:ascii="宋体" w:hAnsi="宋体"/>
                <w:b/>
                <w:color w:val="auto"/>
                <w:lang w:val="zh-CN"/>
              </w:rPr>
              <w:t xml:space="preserve">企业信息已录入以上网站的，</w:t>
            </w:r>
            <w:r>
              <w:rPr>
                <w:rFonts w:hint="eastAsia" w:ascii="宋体" w:hAnsi="宋体"/>
                <w:b/>
                <w:color w:val="auto"/>
                <w:lang w:val="zh-CN"/>
              </w:rPr>
              <w:t xml:space="preserve">无需提供相关证明材料</w:t>
            </w:r>
            <w:r>
              <w:rPr>
                <w:rFonts w:ascii="宋体" w:hAnsi="宋体"/>
                <w:b/>
                <w:color w:val="auto"/>
                <w:lang w:val="zh-CN"/>
              </w:rPr>
              <w:t xml:space="preserve">；</w:t>
            </w:r>
            <w:r>
              <w:rPr>
                <w:rFonts w:hint="eastAsia" w:ascii="宋体" w:hAnsi="宋体"/>
                <w:b/>
                <w:color w:val="auto"/>
                <w:lang w:val="zh-CN"/>
              </w:rPr>
              <w:t xml:space="preserve">若供应商企业信息</w:t>
            </w:r>
            <w:r>
              <w:rPr>
                <w:rFonts w:ascii="宋体" w:hAnsi="宋体"/>
                <w:b/>
                <w:color w:val="auto"/>
                <w:lang w:val="zh-CN"/>
              </w:rPr>
              <w:t xml:space="preserve">未</w:t>
            </w:r>
            <w:r>
              <w:rPr>
                <w:rFonts w:hint="eastAsia" w:ascii="宋体" w:hAnsi="宋体"/>
                <w:b/>
                <w:color w:val="auto"/>
                <w:lang w:val="zh-CN"/>
              </w:rPr>
              <w:t xml:space="preserve">录入以上网站的，以供应商提供的资格声明函中作出的无不良信用记录承诺为准）</w:t>
            </w:r>
            <w:r>
              <w:rPr>
                <w:rFonts w:hint="eastAsia" w:ascii="宋体" w:hAnsi="宋体"/>
                <w:bCs/>
                <w:color w:val="auto"/>
                <w:lang w:val="zh-CN"/>
              </w:rPr>
              <w:t xml:space="preserve">。</w:t>
            </w:r>
            <w:r/>
          </w:p>
        </w:tc>
        <w:tc>
          <w:tcPr>
            <w:tcW w:w="1459" w:type="dxa"/>
            <w:vAlign w:val="center"/>
            <w:vMerge w:val="restart"/>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详见第一章《报价邀请函》</w:t>
            </w:r>
            <w:r/>
          </w:p>
        </w:tc>
      </w:tr>
      <w:tr>
        <w:trPr>
          <w:jc w:val="center"/>
          <w:trHeight w:val="567"/>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color w:val="auto"/>
              </w:rPr>
            </w:pPr>
            <w:r>
              <w:rPr>
                <w:rFonts w:hint="eastAsia" w:ascii="宋体" w:hAnsi="宋体" w:cs="宋体"/>
                <w:color w:val="auto"/>
              </w:rPr>
              <w:t xml:space="preserve">8</w:t>
            </w:r>
            <w:r/>
          </w:p>
        </w:tc>
        <w:tc>
          <w:tcPr>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bCs/>
                <w:color w:val="auto"/>
              </w:rPr>
            </w:pPr>
            <w:r>
              <w:rPr>
                <w:rFonts w:hint="eastAsia" w:ascii="宋体" w:hAnsi="宋体"/>
                <w:bCs/>
                <w:color w:val="auto"/>
                <w:lang w:val="zh-CN"/>
              </w:rPr>
              <w:t xml:space="preserve">中小企业声明</w:t>
            </w:r>
            <w:r/>
          </w:p>
        </w:tc>
        <w:tc>
          <w:tcPr>
            <w:tcW w:w="5791" w:type="dxa"/>
            <w:vAlign w:val="center"/>
            <w:textDirection w:val="lrTb"/>
            <w:noWrap w:val="false"/>
          </w:tcPr>
          <w:p>
            <w:pPr>
              <w:pStyle w:val="959"/>
              <w:ind w:firstLine="0"/>
              <w:keepLines w:val="0"/>
              <w:keepNext w:val="0"/>
              <w:pageBreakBefore w:val="0"/>
              <w:spacing w:before="0" w:after="0" w:line="440" w:lineRule="exact"/>
              <w:widowControl w:val="off"/>
              <w:rPr>
                <w:rFonts w:ascii="宋体" w:hAnsi="宋体" w:cs="宋体"/>
                <w:color w:val="auto"/>
              </w:rPr>
            </w:pPr>
            <w:r>
              <w:rPr>
                <w:rFonts w:hint="eastAsia" w:ascii="宋体" w:hAnsi="宋体"/>
                <w:bCs/>
                <w:color w:val="auto"/>
                <w:lang w:val="zh-CN"/>
              </w:rPr>
              <w:t xml:space="preserve">专门面向中小企业采购的，供应商应提供有效的《中小企业声明函》或《残疾人福利性单位声明函》或监狱企业的证明文件</w:t>
            </w:r>
            <w:r>
              <w:rPr>
                <w:rFonts w:hint="eastAsia" w:ascii="宋体" w:hAnsi="宋体"/>
                <w:b/>
                <w:color w:val="auto"/>
                <w:lang w:val="zh-CN"/>
              </w:rPr>
              <w:t xml:space="preserve">（</w:t>
            </w:r>
            <w:r>
              <w:rPr>
                <w:rFonts w:hint="eastAsia" w:ascii="宋体" w:hAnsi="宋体" w:cs="宋体"/>
                <w:b/>
                <w:color w:val="auto"/>
              </w:rPr>
              <w:t xml:space="preserve">给定格式；非</w:t>
            </w:r>
            <w:r>
              <w:rPr>
                <w:rFonts w:hint="eastAsia" w:ascii="宋体" w:hAnsi="宋体"/>
                <w:b/>
                <w:color w:val="auto"/>
                <w:lang w:val="zh-CN"/>
              </w:rPr>
              <w:t xml:space="preserve">专门面向中小企业采购的无需提供）</w:t>
            </w:r>
            <w:r>
              <w:rPr>
                <w:rFonts w:hint="eastAsia" w:ascii="宋体" w:hAnsi="宋体"/>
                <w:bCs/>
                <w:color w:val="auto"/>
                <w:lang w:val="zh-CN"/>
              </w:rPr>
              <w:t xml:space="preserve">。</w:t>
            </w:r>
            <w:r/>
          </w:p>
        </w:tc>
        <w:tc>
          <w:tcPr>
            <w:tcW w:w="1459" w:type="dxa"/>
            <w:vAlign w:val="center"/>
            <w:vMerge w:val="continue"/>
            <w:textDirection w:val="lrTb"/>
            <w:noWrap w:val="false"/>
          </w:tcPr>
          <w:p>
            <w:pPr>
              <w:pStyle w:val="959"/>
              <w:ind w:firstLine="0"/>
              <w:keepLines w:val="0"/>
              <w:keepNext w:val="0"/>
              <w:pageBreakBefore w:val="0"/>
              <w:spacing w:before="0" w:after="0" w:line="440" w:lineRule="exact"/>
              <w:widowControl w:val="off"/>
              <w:rPr>
                <w:rFonts w:ascii="宋体" w:hAnsi="宋体" w:cs="宋体"/>
                <w:color w:val="auto"/>
              </w:rPr>
            </w:pPr>
            <w:r>
              <w:rPr>
                <w:rFonts w:ascii="宋体" w:hAnsi="宋体" w:cs="宋体"/>
                <w:color w:val="auto"/>
              </w:rPr>
            </w:r>
            <w:r/>
          </w:p>
        </w:tc>
      </w:tr>
      <w:tr>
        <w:trPr>
          <w:jc w:val="center"/>
          <w:trHeight w:val="567"/>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Cs/>
                <w:color w:val="auto"/>
              </w:rPr>
            </w:pPr>
            <w:r>
              <w:rPr>
                <w:rFonts w:hint="eastAsia" w:ascii="宋体" w:hAnsi="宋体" w:cs="宋体"/>
                <w:bCs/>
                <w:color w:val="auto"/>
              </w:rPr>
              <w:t xml:space="preserve">9</w:t>
            </w:r>
            <w:r/>
          </w:p>
        </w:tc>
        <w:tc>
          <w:tcPr>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Cs/>
                <w:color w:val="auto"/>
              </w:rPr>
            </w:pPr>
            <w:r>
              <w:rPr>
                <w:rFonts w:hint="eastAsia" w:ascii="宋体" w:hAnsi="宋体" w:cs="宋体"/>
                <w:bCs/>
                <w:color w:val="auto"/>
              </w:rPr>
              <w:t xml:space="preserve">特定资格要求</w:t>
            </w:r>
            <w:r/>
          </w:p>
        </w:tc>
        <w:tc>
          <w:tcPr>
            <w:tcW w:w="5791" w:type="dxa"/>
            <w:vAlign w:val="center"/>
            <w:textDirection w:val="lrTb"/>
            <w:noWrap w:val="false"/>
          </w:tcPr>
          <w:p>
            <w:pPr>
              <w:pStyle w:val="959"/>
              <w:ind w:firstLine="0"/>
              <w:jc w:val="both"/>
              <w:keepLines w:val="0"/>
              <w:keepNext w:val="0"/>
              <w:pageBreakBefore w:val="0"/>
              <w:spacing w:before="0" w:after="0" w:line="440" w:lineRule="exact"/>
              <w:widowControl w:val="off"/>
              <w:rPr>
                <w:rFonts w:ascii="宋体" w:hAnsi="宋体" w:cs="宋体"/>
                <w:bCs/>
                <w:color w:val="auto"/>
              </w:rPr>
            </w:pPr>
            <w:r>
              <w:rPr>
                <w:rFonts w:hint="eastAsia" w:ascii="宋体" w:hAnsi="宋体" w:cs="Times New Roman"/>
                <w:bCs/>
                <w:color w:val="auto"/>
                <w:sz w:val="24"/>
                <w:szCs w:val="24"/>
                <w:highlight w:val="none"/>
                <w:lang w:val="en-US" w:eastAsia="zh-CN"/>
              </w:rPr>
              <w:t xml:space="preserve">提供供应商有效期内测绘乙级及以上资质证书</w:t>
            </w:r>
            <w:r>
              <w:rPr>
                <w:rFonts w:hint="eastAsia" w:ascii="宋体" w:hAnsi="宋体" w:cs="宋体"/>
                <w:color w:val="auto"/>
              </w:rPr>
              <w:t xml:space="preserve">。</w:t>
            </w:r>
            <w:r/>
          </w:p>
        </w:tc>
        <w:tc>
          <w:tcPr>
            <w:tcW w:w="1459" w:type="dxa"/>
            <w:vAlign w:val="center"/>
            <w:vMerge w:val="continue"/>
            <w:textDirection w:val="lrTb"/>
            <w:noWrap w:val="false"/>
          </w:tcPr>
          <w:p>
            <w:pPr>
              <w:pStyle w:val="959"/>
              <w:ind w:firstLine="0"/>
              <w:keepLines w:val="0"/>
              <w:keepNext w:val="0"/>
              <w:pageBreakBefore w:val="0"/>
              <w:spacing w:before="0" w:after="0" w:line="440" w:lineRule="exact"/>
              <w:widowControl w:val="off"/>
              <w:rPr>
                <w:rFonts w:ascii="宋体" w:hAnsi="宋体" w:cs="宋体"/>
                <w:bCs/>
                <w:color w:val="auto"/>
              </w:rPr>
            </w:pPr>
            <w:r>
              <w:rPr>
                <w:rFonts w:ascii="宋体" w:hAnsi="宋体" w:cs="宋体"/>
                <w:bCs/>
                <w:color w:val="auto"/>
              </w:rPr>
            </w:r>
            <w:r/>
          </w:p>
        </w:tc>
      </w:tr>
      <w:tr>
        <w:trPr>
          <w:jc w:val="center"/>
          <w:trHeight w:val="567"/>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Cs/>
                <w:color w:val="auto"/>
              </w:rPr>
            </w:pPr>
            <w:r>
              <w:rPr>
                <w:rFonts w:hint="eastAsia" w:ascii="宋体" w:hAnsi="宋体" w:cs="宋体"/>
                <w:bCs/>
                <w:color w:val="auto"/>
              </w:rPr>
              <w:t xml:space="preserve">10</w:t>
            </w:r>
            <w:r/>
          </w:p>
        </w:tc>
        <w:tc>
          <w:tcPr>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Cs/>
                <w:color w:val="auto"/>
                <w:lang w:val="zh-CN"/>
              </w:rPr>
            </w:pPr>
            <w:r>
              <w:rPr>
                <w:rFonts w:hint="eastAsia" w:ascii="宋体" w:hAnsi="宋体"/>
                <w:bCs/>
                <w:color w:val="auto"/>
                <w:lang w:val="zh-CN"/>
              </w:rPr>
              <w:t xml:space="preserve">联合体</w:t>
            </w:r>
            <w:r/>
          </w:p>
        </w:tc>
        <w:tc>
          <w:tcPr>
            <w:gridSpan w:val="2"/>
            <w:tcW w:w="7250" w:type="dxa"/>
            <w:vAlign w:val="center"/>
            <w:textDirection w:val="lrTb"/>
            <w:noWrap w:val="false"/>
          </w:tcPr>
          <w:p>
            <w:pPr>
              <w:pStyle w:val="959"/>
              <w:ind w:firstLine="0"/>
              <w:keepLines w:val="0"/>
              <w:keepNext w:val="0"/>
              <w:pageBreakBefore w:val="0"/>
              <w:spacing w:before="0" w:after="0" w:line="440" w:lineRule="exact"/>
              <w:widowControl w:val="off"/>
              <w:rPr>
                <w:rFonts w:ascii="宋体" w:hAnsi="宋体" w:cs="宋体"/>
                <w:color w:val="auto"/>
              </w:rPr>
            </w:pPr>
            <w:r>
              <w:rPr>
                <w:rFonts w:hint="eastAsia" w:ascii="宋体" w:hAnsi="宋体" w:cs="宋体"/>
                <w:bCs/>
                <w:color w:val="auto"/>
                <w:lang w:val="zh-CN"/>
              </w:rPr>
              <w:t xml:space="preserve">《联合体协议书》</w:t>
            </w:r>
            <w:r>
              <w:rPr>
                <w:rFonts w:hint="eastAsia" w:ascii="宋体" w:hAnsi="宋体" w:cs="宋体"/>
                <w:b/>
                <w:color w:val="auto"/>
              </w:rPr>
              <w:t xml:space="preserve">（给定格式；</w:t>
            </w:r>
            <w:r>
              <w:rPr>
                <w:rFonts w:hint="eastAsia" w:ascii="宋体" w:hAnsi="宋体"/>
                <w:b/>
                <w:color w:val="auto"/>
              </w:rPr>
              <w:t xml:space="preserve">如接受联合体报价且</w:t>
            </w:r>
            <w:r>
              <w:rPr>
                <w:rFonts w:hint="eastAsia" w:ascii="宋体" w:hAnsi="宋体"/>
                <w:b/>
                <w:color w:val="auto"/>
                <w:lang w:val="zh-CN"/>
              </w:rPr>
              <w:t xml:space="preserve">供应商</w:t>
            </w:r>
            <w:r>
              <w:rPr>
                <w:rFonts w:hint="eastAsia" w:ascii="宋体" w:hAnsi="宋体"/>
                <w:b/>
                <w:color w:val="auto"/>
              </w:rPr>
              <w:t xml:space="preserve">为联合体时须提供</w:t>
            </w:r>
            <w:r>
              <w:rPr>
                <w:rFonts w:hint="eastAsia" w:ascii="宋体" w:hAnsi="宋体" w:cs="宋体"/>
                <w:b/>
                <w:color w:val="auto"/>
              </w:rPr>
              <w:t xml:space="preserve">，</w:t>
            </w:r>
            <w:r>
              <w:rPr>
                <w:rFonts w:hint="eastAsia" w:ascii="宋体" w:hAnsi="宋体"/>
                <w:b/>
                <w:color w:val="auto"/>
                <w:lang w:val="zh-CN"/>
              </w:rPr>
              <w:t xml:space="preserve">否则无需提供</w:t>
            </w:r>
            <w:r>
              <w:rPr>
                <w:rFonts w:hint="eastAsia" w:ascii="宋体" w:hAnsi="宋体" w:cs="宋体"/>
                <w:b/>
                <w:color w:val="auto"/>
              </w:rPr>
              <w:t xml:space="preserve">）</w:t>
            </w:r>
            <w:r>
              <w:rPr>
                <w:rFonts w:hint="eastAsia" w:ascii="宋体" w:hAnsi="宋体" w:cs="宋体"/>
                <w:bCs/>
                <w:color w:val="auto"/>
              </w:rPr>
              <w:t xml:space="preserve">。</w:t>
            </w:r>
            <w:r/>
          </w:p>
        </w:tc>
      </w:tr>
      <w:tr>
        <w:trPr>
          <w:jc w:val="center"/>
          <w:trHeight w:val="567"/>
        </w:trPr>
        <w:tc>
          <w:tcPr>
            <w:tcW w:w="710"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Cs/>
                <w:color w:val="auto"/>
              </w:rPr>
            </w:pPr>
            <w:r>
              <w:rPr>
                <w:rFonts w:hint="eastAsia" w:ascii="宋体" w:hAnsi="宋体" w:cs="宋体"/>
                <w:bCs/>
                <w:color w:val="auto"/>
              </w:rPr>
              <w:t xml:space="preserve">11</w:t>
            </w:r>
            <w:r/>
          </w:p>
        </w:tc>
        <w:tc>
          <w:tcPr>
            <w:tcW w:w="1675" w:type="dxa"/>
            <w:vAlign w:val="center"/>
            <w:textDirection w:val="lrTb"/>
            <w:noWrap w:val="false"/>
          </w:tcPr>
          <w:p>
            <w:pPr>
              <w:pStyle w:val="959"/>
              <w:ind w:firstLine="0"/>
              <w:jc w:val="center"/>
              <w:keepLines w:val="0"/>
              <w:keepNext w:val="0"/>
              <w:pageBreakBefore w:val="0"/>
              <w:spacing w:before="0" w:after="0" w:line="440" w:lineRule="exact"/>
              <w:widowControl w:val="off"/>
              <w:rPr>
                <w:rFonts w:ascii="宋体" w:hAnsi="宋体" w:cs="宋体"/>
                <w:bCs/>
                <w:color w:val="auto"/>
                <w:lang w:val="zh-CN"/>
              </w:rPr>
            </w:pPr>
            <w:r>
              <w:rPr>
                <w:rFonts w:hint="eastAsia" w:ascii="宋体" w:hAnsi="宋体"/>
                <w:bCs/>
                <w:color w:val="auto"/>
                <w:lang w:val="zh-CN"/>
              </w:rPr>
              <w:t xml:space="preserve">分包</w:t>
            </w:r>
            <w:r/>
          </w:p>
        </w:tc>
        <w:tc>
          <w:tcPr>
            <w:gridSpan w:val="2"/>
            <w:tcW w:w="7250" w:type="dxa"/>
            <w:vAlign w:val="center"/>
            <w:textDirection w:val="lrTb"/>
            <w:noWrap w:val="false"/>
          </w:tcPr>
          <w:p>
            <w:pPr>
              <w:pStyle w:val="959"/>
              <w:ind w:firstLine="0"/>
              <w:keepLines w:val="0"/>
              <w:keepNext w:val="0"/>
              <w:pageBreakBefore w:val="0"/>
              <w:spacing w:before="0" w:after="0" w:line="440" w:lineRule="exact"/>
              <w:widowControl w:val="off"/>
              <w:rPr>
                <w:rFonts w:ascii="宋体" w:hAnsi="宋体" w:cs="宋体"/>
                <w:bCs/>
                <w:color w:val="auto"/>
                <w:lang w:val="zh-CN"/>
              </w:rPr>
            </w:pPr>
            <w:r>
              <w:rPr>
                <w:rFonts w:hint="eastAsia" w:ascii="宋体" w:hAnsi="宋体" w:cs="宋体"/>
                <w:bCs/>
                <w:color w:val="auto"/>
                <w:lang w:val="zh-CN"/>
              </w:rPr>
              <w:t xml:space="preserve">《分包情况说明》</w:t>
            </w:r>
            <w:r>
              <w:rPr>
                <w:rFonts w:hint="eastAsia" w:ascii="宋体" w:hAnsi="宋体" w:cs="宋体"/>
                <w:b/>
                <w:color w:val="auto"/>
                <w:lang w:val="zh-CN"/>
              </w:rPr>
              <w:t xml:space="preserve">（给定格式；如采购人</w:t>
            </w:r>
            <w:r>
              <w:rPr>
                <w:rFonts w:hint="eastAsia" w:ascii="宋体" w:hAnsi="宋体" w:cs="宋体"/>
                <w:b/>
                <w:color w:val="auto"/>
              </w:rPr>
              <w:t xml:space="preserve">接受</w:t>
            </w:r>
            <w:r>
              <w:rPr>
                <w:rFonts w:hint="eastAsia" w:ascii="宋体" w:hAnsi="宋体" w:cs="宋体"/>
                <w:b/>
                <w:color w:val="auto"/>
                <w:lang w:val="zh-CN"/>
              </w:rPr>
              <w:t xml:space="preserve">分包且供应商有分包意向的须提供，否则无需提供）</w:t>
            </w:r>
            <w:r>
              <w:rPr>
                <w:rFonts w:hint="eastAsia" w:ascii="宋体" w:hAnsi="宋体" w:cs="宋体"/>
                <w:bCs/>
                <w:color w:val="auto"/>
                <w:lang w:val="zh-CN"/>
              </w:rPr>
              <w:t xml:space="preserve">。</w:t>
            </w:r>
            <w:r/>
          </w:p>
        </w:tc>
      </w:tr>
    </w:tbl>
    <w:p>
      <w:pPr>
        <w:numPr>
          <w:ilvl w:val="0"/>
          <w:numId w:val="0"/>
        </w:numPr>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说明：</w:t>
      </w:r>
      <w:r/>
    </w:p>
    <w:p>
      <w:pPr>
        <w:numPr>
          <w:ilvl w:val="0"/>
          <w:numId w:val="8"/>
        </w:numPr>
        <w:ind w:firstLine="480"/>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上述资格证明文件1～6项必须全部按要求提供（有给定格式的，必须按给定格式的要求正确填报并提供，相应格式见本章第二部分），否则响应文件无效。如遇年检、换证，则必须提供法定年检、换证单位出具的有效证明。其中第5、6项如遇有国家相关政策规定可不具备的（如依法享受缓缴、免缴税收、社会保障资金等），必须提供相关政策规定或相关单位出具的有效证明；如因新成立确无法提供的，可以不提供。如采购的项目中有多个采购包，供应商应当按照所参与的采购包提交相应的响应文件资料，不同采购包的响应文件资料不混用且不作为评审依据。</w:t>
      </w:r>
      <w:r/>
    </w:p>
    <w:p>
      <w:pPr>
        <w:numPr>
          <w:ilvl w:val="0"/>
          <w:numId w:val="8"/>
        </w:numPr>
        <w:ind w:firstLine="480"/>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上述资格证明文件第8项，如本项目落实政府采购政策需满足的资格要求中有中小企业政策要求的（详见第一章《报价邀请函》），必须提供相应证明文件，否则响应文件无效。专门面向中小企业，是指专门面向中型、小型、微型企业、监狱企业或残疾人福利性单位；专门面向小微企业，是指专门面向小型、微型企业、监狱企业或残疾人福利性单位。</w:t>
      </w:r>
      <w:r/>
    </w:p>
    <w:p>
      <w:pPr>
        <w:numPr>
          <w:ilvl w:val="0"/>
          <w:numId w:val="8"/>
        </w:numPr>
        <w:ind w:firstLine="480"/>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上述资格证明文件第9项，如本项目有特定资格要求的，必须按要求提供证明材料，否则响应文件无效。</w:t>
      </w:r>
      <w:r/>
    </w:p>
    <w:p>
      <w:pPr>
        <w:numPr>
          <w:ilvl w:val="0"/>
          <w:numId w:val="8"/>
        </w:numPr>
        <w:ind w:firstLine="480"/>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上述资格证明文件第10项，如项目接受联合体报价且供应商为联合体时，上述资格证明文件中：第1、2项可由联合体主体单位（即联合体牵头人）代表联合体提供；第3、4、5、6、8（如有要求）、9（如有要求）项，联合体各方均须提供。</w:t>
      </w:r>
      <w:r/>
    </w:p>
    <w:p>
      <w:pPr>
        <w:numPr>
          <w:ilvl w:val="0"/>
          <w:numId w:val="8"/>
        </w:numPr>
        <w:ind w:firstLine="480"/>
        <w:keepLines w:val="0"/>
        <w:keepNext w:val="0"/>
        <w:pageBreakBefore w:val="0"/>
        <w:spacing w:line="360" w:lineRule="auto"/>
        <w:widowControl w:val="off"/>
        <w:rPr>
          <w:rFonts w:hint="eastAsia" w:ascii="宋体" w:hAnsi="宋体" w:eastAsia="宋体" w:cs="Times New Roman"/>
          <w:color w:val="auto"/>
          <w:sz w:val="24"/>
          <w:szCs w:val="24"/>
        </w:rPr>
        <w:sectPr>
          <w:footerReference w:type="default" r:id="rId11"/>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Times New Roman"/>
          <w:color w:val="auto"/>
          <w:sz w:val="24"/>
          <w:szCs w:val="24"/>
        </w:rPr>
        <w:t xml:space="preserve">上述资格证明文件第11项，如采购人接受分包且供应商有分包意向时，上述资格证明文件中：第1、2、9项由供应商提供；第3、4、5、6、8（如有要求）项，各方均须提供。</w:t>
      </w:r>
      <w:r/>
    </w:p>
    <w:p>
      <w:pPr>
        <w:pStyle w:val="959"/>
        <w:ind w:firstLine="0"/>
        <w:spacing w:line="500" w:lineRule="exact"/>
        <w:rPr>
          <w:rFonts w:hint="eastAsia" w:eastAsia="宋体" w:cs="Times New Roman"/>
          <w:b/>
          <w:color w:val="auto"/>
          <w:sz w:val="28"/>
          <w:szCs w:val="28"/>
        </w:rPr>
      </w:pPr>
      <w:r>
        <w:rPr>
          <w:rFonts w:hint="eastAsia" w:eastAsia="宋体" w:cs="Times New Roman"/>
          <w:b/>
          <w:color w:val="auto"/>
          <w:sz w:val="28"/>
          <w:szCs w:val="28"/>
        </w:rPr>
        <w:t xml:space="preserve">二、符合性证明文件及评审因素</w:t>
      </w:r>
      <w:r/>
    </w:p>
    <w:p>
      <w:pPr>
        <w:pStyle w:val="959"/>
        <w:ind w:firstLine="0"/>
        <w:spacing w:line="500" w:lineRule="exact"/>
        <w:rPr>
          <w:rFonts w:hint="eastAsia" w:eastAsia="宋体" w:cs="Times New Roman"/>
          <w:b/>
          <w:color w:val="auto"/>
          <w:sz w:val="28"/>
          <w:szCs w:val="28"/>
        </w:rPr>
      </w:pPr>
      <w:r>
        <w:rPr>
          <w:rFonts w:hint="eastAsia" w:eastAsia="宋体" w:cs="Times New Roman"/>
          <w:b/>
          <w:color w:val="auto"/>
          <w:sz w:val="28"/>
          <w:szCs w:val="28"/>
        </w:rPr>
        <w:t xml:space="preserve">（一）符合性证明文件</w:t>
      </w:r>
      <w:r/>
    </w:p>
    <w:tbl>
      <w:tblPr>
        <w:tblStyle w:val="948"/>
        <w:tblW w:w="95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6445"/>
        <w:gridCol w:w="2263"/>
      </w:tblGrid>
      <w:tr>
        <w:trPr>
          <w:jc w:val="center"/>
          <w:trHeight w:val="567"/>
        </w:trPr>
        <w:tc>
          <w:tcPr>
            <w:tcW w:w="880" w:type="dxa"/>
            <w:vAlign w:val="center"/>
            <w:textDirection w:val="lrTb"/>
            <w:noWrap w:val="false"/>
          </w:tcPr>
          <w:p>
            <w:pPr>
              <w:pStyle w:val="959"/>
              <w:ind w:firstLine="0"/>
              <w:jc w:val="center"/>
              <w:spacing w:before="0" w:after="0" w:line="240" w:lineRule="auto"/>
              <w:rPr>
                <w:rFonts w:cs="Arial"/>
                <w:b/>
                <w:color w:val="auto"/>
              </w:rPr>
            </w:pPr>
            <w:r>
              <w:rPr>
                <w:rFonts w:hint="eastAsia" w:cs="Arial"/>
                <w:b/>
                <w:color w:val="auto"/>
              </w:rPr>
              <w:t xml:space="preserve">序号</w:t>
            </w:r>
            <w:r/>
          </w:p>
        </w:tc>
        <w:tc>
          <w:tcPr>
            <w:tcW w:w="6445" w:type="dxa"/>
            <w:vAlign w:val="center"/>
            <w:textDirection w:val="lrTb"/>
            <w:noWrap w:val="false"/>
          </w:tcPr>
          <w:p>
            <w:pPr>
              <w:pStyle w:val="959"/>
              <w:ind w:firstLine="0"/>
              <w:jc w:val="center"/>
              <w:spacing w:before="0" w:after="0" w:line="240" w:lineRule="auto"/>
              <w:rPr>
                <w:rFonts w:cs="Arial"/>
                <w:b/>
                <w:color w:val="auto"/>
              </w:rPr>
            </w:pPr>
            <w:r>
              <w:rPr>
                <w:rFonts w:hint="eastAsia" w:ascii="宋体" w:hAnsi="宋体" w:cs="宋体"/>
                <w:b/>
                <w:color w:val="auto"/>
              </w:rPr>
              <w:t xml:space="preserve">评审项目及评审要求</w:t>
            </w:r>
            <w:r/>
          </w:p>
        </w:tc>
        <w:tc>
          <w:tcPr>
            <w:tcW w:w="2263" w:type="dxa"/>
            <w:vAlign w:val="center"/>
            <w:textDirection w:val="lrTb"/>
            <w:noWrap w:val="false"/>
          </w:tcPr>
          <w:p>
            <w:pPr>
              <w:pStyle w:val="959"/>
              <w:ind w:firstLine="0"/>
              <w:jc w:val="center"/>
              <w:spacing w:before="0" w:after="0" w:line="240" w:lineRule="auto"/>
              <w:rPr>
                <w:rFonts w:cs="Arial"/>
                <w:b/>
                <w:color w:val="auto"/>
              </w:rPr>
            </w:pPr>
            <w:r>
              <w:rPr>
                <w:rFonts w:hint="eastAsia" w:cs="Arial"/>
                <w:b/>
                <w:color w:val="auto"/>
              </w:rPr>
              <w:t xml:space="preserve">审查因素</w:t>
            </w:r>
            <w:r/>
          </w:p>
        </w:tc>
      </w:tr>
      <w:tr>
        <w:trPr>
          <w:jc w:val="center"/>
          <w:trHeight w:val="680"/>
        </w:trPr>
        <w:tc>
          <w:tcPr>
            <w:shd w:val="clear" w:color="auto" w:fill="auto"/>
            <w:tcW w:w="880" w:type="dxa"/>
            <w:vAlign w:val="center"/>
            <w:textDirection w:val="lrTb"/>
            <w:noWrap w:val="false"/>
          </w:tcPr>
          <w:p>
            <w:pPr>
              <w:pStyle w:val="959"/>
              <w:ind w:firstLine="0"/>
              <w:jc w:val="center"/>
              <w:spacing w:before="0" w:after="0" w:line="240" w:lineRule="auto"/>
              <w:rPr>
                <w:rFonts w:ascii="宋体" w:hAnsi="宋体" w:cs="Arial"/>
                <w:color w:val="auto"/>
              </w:rPr>
            </w:pPr>
            <w:r>
              <w:rPr>
                <w:rFonts w:hint="eastAsia" w:ascii="宋体" w:hAnsi="宋体" w:cs="Arial"/>
                <w:color w:val="auto"/>
              </w:rPr>
              <w:t xml:space="preserve">1</w:t>
            </w:r>
            <w:r/>
          </w:p>
        </w:tc>
        <w:tc>
          <w:tcPr>
            <w:tcW w:w="6445" w:type="dxa"/>
            <w:vAlign w:val="center"/>
            <w:textDirection w:val="lrTb"/>
            <w:noWrap w:val="false"/>
          </w:tcPr>
          <w:p>
            <w:pPr>
              <w:pStyle w:val="959"/>
              <w:ind w:firstLine="0"/>
              <w:jc w:val="both"/>
              <w:spacing w:before="0" w:after="0" w:line="240" w:lineRule="auto"/>
              <w:rPr>
                <w:rFonts w:ascii="宋体" w:hAnsi="宋体" w:cs="Arial"/>
                <w:color w:val="auto"/>
              </w:rPr>
            </w:pPr>
            <w:r>
              <w:rPr>
                <w:rFonts w:hint="eastAsia" w:ascii="宋体" w:hAnsi="宋体"/>
                <w:color w:val="auto"/>
              </w:rPr>
              <w:t xml:space="preserve">磋商报价表</w:t>
            </w:r>
            <w:r>
              <w:rPr>
                <w:rFonts w:hint="eastAsia" w:ascii="宋体" w:hAnsi="宋体"/>
                <w:b/>
                <w:bCs/>
                <w:color w:val="auto"/>
              </w:rPr>
              <w:t xml:space="preserve">（“苏采云”系统中给定格式）</w:t>
            </w:r>
            <w:r/>
          </w:p>
        </w:tc>
        <w:tc>
          <w:tcPr>
            <w:tcW w:w="2263" w:type="dxa"/>
            <w:vAlign w:val="center"/>
            <w:vMerge w:val="restart"/>
            <w:textDirection w:val="lrTb"/>
            <w:noWrap w:val="false"/>
          </w:tcPr>
          <w:p>
            <w:pPr>
              <w:pStyle w:val="959"/>
              <w:ind w:firstLine="0"/>
              <w:jc w:val="center"/>
              <w:spacing w:before="0" w:after="0" w:line="240" w:lineRule="auto"/>
              <w:rPr>
                <w:rFonts w:cs="Arial"/>
                <w:color w:val="auto"/>
              </w:rPr>
            </w:pPr>
            <w:r>
              <w:rPr>
                <w:rFonts w:hint="eastAsia"/>
                <w:b/>
                <w:color w:val="auto"/>
                <w:sz w:val="28"/>
                <w:szCs w:val="28"/>
              </w:rPr>
              <w:t xml:space="preserve">符合性证明文件（</w:t>
            </w:r>
            <w:r>
              <w:rPr>
                <w:rFonts w:hint="eastAsia" w:cs="Arial"/>
                <w:color w:val="auto"/>
              </w:rPr>
              <w:t xml:space="preserve">报价符合性</w:t>
            </w:r>
            <w:r>
              <w:rPr>
                <w:rFonts w:hint="eastAsia"/>
                <w:b/>
                <w:color w:val="auto"/>
                <w:sz w:val="28"/>
                <w:szCs w:val="28"/>
              </w:rPr>
              <w:t xml:space="preserve">）</w:t>
            </w:r>
            <w:r/>
          </w:p>
        </w:tc>
      </w:tr>
      <w:tr>
        <w:trPr>
          <w:jc w:val="center"/>
          <w:trHeight w:val="680"/>
        </w:trPr>
        <w:tc>
          <w:tcPr>
            <w:shd w:val="clear" w:color="auto" w:fill="auto"/>
            <w:tcW w:w="880" w:type="dxa"/>
            <w:vAlign w:val="center"/>
            <w:textDirection w:val="lrTb"/>
            <w:noWrap w:val="false"/>
          </w:tcPr>
          <w:p>
            <w:pPr>
              <w:pStyle w:val="959"/>
              <w:ind w:firstLine="0"/>
              <w:jc w:val="center"/>
              <w:spacing w:before="0" w:after="0" w:line="240" w:lineRule="auto"/>
              <w:rPr>
                <w:rFonts w:hint="eastAsia" w:ascii="宋体" w:hAnsi="宋体" w:eastAsia="宋体" w:cs="Arial"/>
                <w:color w:val="auto"/>
                <w:sz w:val="24"/>
                <w:szCs w:val="24"/>
                <w:lang w:val="en-US" w:eastAsia="zh-CN" w:bidi="ar-SA"/>
              </w:rPr>
            </w:pPr>
            <w:r>
              <w:rPr>
                <w:rFonts w:hint="eastAsia" w:ascii="宋体" w:hAnsi="宋体" w:cs="Arial"/>
                <w:color w:val="auto"/>
              </w:rPr>
              <w:t xml:space="preserve">2</w:t>
            </w:r>
            <w:r/>
          </w:p>
        </w:tc>
        <w:tc>
          <w:tcPr>
            <w:tcW w:w="6445" w:type="dxa"/>
            <w:vAlign w:val="center"/>
            <w:textDirection w:val="lrTb"/>
            <w:noWrap w:val="false"/>
          </w:tcPr>
          <w:p>
            <w:pPr>
              <w:pStyle w:val="959"/>
              <w:ind w:firstLine="0"/>
              <w:jc w:val="both"/>
              <w:spacing w:before="0" w:after="0" w:line="240" w:lineRule="auto"/>
              <w:rPr>
                <w:rFonts w:hint="eastAsia" w:ascii="宋体" w:hAnsi="宋体"/>
                <w:color w:val="auto"/>
              </w:rPr>
            </w:pPr>
            <w:r>
              <w:rPr>
                <w:rFonts w:hint="eastAsia" w:ascii="宋体" w:hAnsi="宋体"/>
                <w:color w:val="auto"/>
                <w:lang w:val="en-US" w:eastAsia="zh-CN"/>
              </w:rPr>
              <w:t xml:space="preserve">明细报价表</w:t>
            </w:r>
            <w:r>
              <w:rPr>
                <w:rFonts w:hint="eastAsia" w:ascii="宋体" w:hAnsi="宋体"/>
                <w:b/>
                <w:bCs/>
                <w:color w:val="auto"/>
                <w:lang w:val="en-US" w:eastAsia="zh-CN"/>
              </w:rPr>
              <w:t xml:space="preserve">（给定格式）</w:t>
            </w:r>
            <w:r/>
          </w:p>
        </w:tc>
        <w:tc>
          <w:tcPr>
            <w:tcW w:w="2263" w:type="dxa"/>
            <w:vAlign w:val="center"/>
            <w:vMerge w:val="continue"/>
            <w:textDirection w:val="lrTb"/>
            <w:noWrap w:val="false"/>
          </w:tcPr>
          <w:p>
            <w:pPr>
              <w:pStyle w:val="959"/>
              <w:ind w:firstLine="0"/>
              <w:jc w:val="center"/>
              <w:spacing w:before="0" w:after="0" w:line="240" w:lineRule="auto"/>
              <w:rPr>
                <w:rFonts w:hint="eastAsia"/>
                <w:b/>
                <w:color w:val="auto"/>
                <w:sz w:val="28"/>
                <w:szCs w:val="28"/>
              </w:rPr>
            </w:pPr>
            <w:r>
              <w:rPr>
                <w:rFonts w:hint="eastAsia"/>
                <w:b/>
                <w:color w:val="auto"/>
                <w:sz w:val="28"/>
                <w:szCs w:val="28"/>
              </w:rPr>
            </w:r>
            <w:r/>
          </w:p>
        </w:tc>
      </w:tr>
      <w:tr>
        <w:trPr>
          <w:jc w:val="center"/>
          <w:trHeight w:val="680"/>
        </w:trPr>
        <w:tc>
          <w:tcPr>
            <w:shd w:val="clear" w:color="auto" w:fill="auto"/>
            <w:tcW w:w="880" w:type="dxa"/>
            <w:vAlign w:val="center"/>
            <w:textDirection w:val="lrTb"/>
            <w:noWrap w:val="false"/>
          </w:tcPr>
          <w:p>
            <w:pPr>
              <w:pStyle w:val="959"/>
              <w:ind w:firstLine="0"/>
              <w:jc w:val="center"/>
              <w:spacing w:before="0" w:after="0" w:line="240" w:lineRule="auto"/>
              <w:rPr>
                <w:rFonts w:ascii="宋体" w:hAnsi="宋体" w:eastAsia="宋体" w:cs="Times New Roman"/>
                <w:color w:val="auto"/>
                <w:sz w:val="24"/>
                <w:szCs w:val="24"/>
                <w:lang w:val="en-US" w:eastAsia="zh-CN" w:bidi="ar-SA"/>
              </w:rPr>
            </w:pPr>
            <w:r>
              <w:rPr>
                <w:rFonts w:hint="eastAsia" w:ascii="宋体" w:hAnsi="宋体"/>
                <w:color w:val="auto"/>
              </w:rPr>
              <w:t xml:space="preserve">3</w:t>
            </w:r>
            <w:r/>
          </w:p>
        </w:tc>
        <w:tc>
          <w:tcPr>
            <w:tcW w:w="6445" w:type="dxa"/>
            <w:vAlign w:val="center"/>
            <w:textDirection w:val="lrTb"/>
            <w:noWrap w:val="false"/>
          </w:tcPr>
          <w:p>
            <w:pPr>
              <w:pStyle w:val="959"/>
              <w:ind w:firstLine="0"/>
              <w:jc w:val="both"/>
              <w:spacing w:before="0" w:after="0" w:line="240" w:lineRule="auto"/>
              <w:rPr>
                <w:rFonts w:ascii="宋体" w:hAnsi="宋体" w:cs="Arial"/>
                <w:color w:val="auto"/>
              </w:rPr>
            </w:pPr>
            <w:r>
              <w:rPr>
                <w:rFonts w:hint="eastAsia" w:ascii="宋体" w:hAnsi="宋体"/>
                <w:color w:val="auto"/>
              </w:rPr>
              <w:t xml:space="preserve">响应</w:t>
            </w:r>
            <w:r>
              <w:rPr>
                <w:rFonts w:hint="eastAsia" w:ascii="宋体" w:hAnsi="宋体" w:cs="Arial"/>
                <w:color w:val="auto"/>
              </w:rPr>
              <w:t xml:space="preserve">函</w:t>
            </w:r>
            <w:r>
              <w:rPr>
                <w:rFonts w:hint="eastAsia" w:ascii="宋体" w:hAnsi="宋体" w:cs="Arial"/>
                <w:b/>
                <w:bCs/>
                <w:color w:val="auto"/>
              </w:rPr>
              <w:t xml:space="preserve">（给定格式）</w:t>
            </w:r>
            <w:r/>
          </w:p>
        </w:tc>
        <w:tc>
          <w:tcPr>
            <w:tcW w:w="2263" w:type="dxa"/>
            <w:vAlign w:val="center"/>
            <w:vMerge w:val="restart"/>
            <w:textDirection w:val="lrTb"/>
            <w:noWrap w:val="false"/>
          </w:tcPr>
          <w:p>
            <w:pPr>
              <w:pStyle w:val="959"/>
              <w:ind w:firstLine="0"/>
              <w:jc w:val="center"/>
              <w:spacing w:before="0" w:after="0" w:line="240" w:lineRule="auto"/>
              <w:rPr>
                <w:rFonts w:cs="Arial"/>
                <w:color w:val="auto"/>
              </w:rPr>
            </w:pPr>
            <w:r>
              <w:rPr>
                <w:rFonts w:hint="eastAsia"/>
                <w:b/>
                <w:color w:val="auto"/>
                <w:sz w:val="28"/>
                <w:szCs w:val="28"/>
              </w:rPr>
              <w:t xml:space="preserve">符合性证明文件（</w:t>
            </w:r>
            <w:r>
              <w:rPr>
                <w:rFonts w:hint="eastAsia" w:cs="Arial"/>
                <w:color w:val="auto"/>
              </w:rPr>
              <w:t xml:space="preserve">商务符合性</w:t>
            </w:r>
            <w:r>
              <w:rPr>
                <w:rFonts w:hint="eastAsia"/>
                <w:b/>
                <w:color w:val="auto"/>
                <w:sz w:val="28"/>
                <w:szCs w:val="28"/>
              </w:rPr>
              <w:t xml:space="preserve">）</w:t>
            </w:r>
            <w:r/>
          </w:p>
        </w:tc>
      </w:tr>
      <w:tr>
        <w:trPr>
          <w:jc w:val="center"/>
          <w:trHeight w:val="680"/>
        </w:trPr>
        <w:tc>
          <w:tcPr>
            <w:shd w:val="clear" w:color="auto" w:fill="auto"/>
            <w:tcW w:w="880" w:type="dxa"/>
            <w:vAlign w:val="center"/>
            <w:textDirection w:val="lrTb"/>
            <w:noWrap w:val="false"/>
          </w:tcPr>
          <w:p>
            <w:pPr>
              <w:pStyle w:val="959"/>
              <w:ind w:firstLine="0"/>
              <w:jc w:val="center"/>
              <w:spacing w:before="0" w:after="0" w:line="240" w:lineRule="auto"/>
              <w:rPr>
                <w:rFonts w:ascii="宋体" w:hAnsi="宋体" w:eastAsia="宋体" w:cs="Times New Roman"/>
                <w:color w:val="auto"/>
                <w:sz w:val="24"/>
                <w:szCs w:val="24"/>
                <w:lang w:val="en-US" w:eastAsia="zh-CN" w:bidi="ar-SA"/>
              </w:rPr>
            </w:pPr>
            <w:r>
              <w:rPr>
                <w:rFonts w:hint="eastAsia" w:ascii="宋体" w:hAnsi="宋体"/>
                <w:color w:val="auto"/>
              </w:rPr>
              <w:t xml:space="preserve">4</w:t>
            </w:r>
            <w:r/>
          </w:p>
        </w:tc>
        <w:tc>
          <w:tcPr>
            <w:tcW w:w="6445" w:type="dxa"/>
            <w:vAlign w:val="center"/>
            <w:textDirection w:val="lrTb"/>
            <w:noWrap w:val="false"/>
          </w:tcPr>
          <w:p>
            <w:pPr>
              <w:pStyle w:val="959"/>
              <w:ind w:firstLine="0"/>
              <w:jc w:val="both"/>
              <w:spacing w:before="0" w:after="0" w:line="240" w:lineRule="auto"/>
              <w:rPr>
                <w:rFonts w:ascii="宋体" w:hAnsi="宋体" w:cs="Arial"/>
                <w:color w:val="auto"/>
              </w:rPr>
            </w:pPr>
            <w:r>
              <w:rPr>
                <w:rFonts w:hint="eastAsia" w:ascii="宋体" w:hAnsi="宋体" w:cs="Arial"/>
                <w:color w:val="auto"/>
              </w:rPr>
              <w:t xml:space="preserve">承诺书</w:t>
            </w:r>
            <w:r>
              <w:rPr>
                <w:rFonts w:hint="eastAsia" w:ascii="宋体" w:hAnsi="宋体" w:cs="Arial"/>
                <w:b/>
                <w:bCs/>
                <w:color w:val="auto"/>
              </w:rPr>
              <w:t xml:space="preserve">（给定格式）</w:t>
            </w:r>
            <w:r/>
          </w:p>
        </w:tc>
        <w:tc>
          <w:tcPr>
            <w:tcW w:w="2263" w:type="dxa"/>
            <w:vAlign w:val="center"/>
            <w:vMerge w:val="continue"/>
            <w:textDirection w:val="lrTb"/>
            <w:noWrap w:val="false"/>
          </w:tcPr>
          <w:p>
            <w:pPr>
              <w:pStyle w:val="959"/>
              <w:ind w:firstLine="0"/>
              <w:jc w:val="center"/>
              <w:spacing w:before="0" w:after="0" w:line="240" w:lineRule="auto"/>
              <w:rPr>
                <w:rFonts w:cs="Arial"/>
                <w:color w:val="auto"/>
              </w:rPr>
            </w:pPr>
            <w:r>
              <w:rPr>
                <w:rFonts w:cs="Arial"/>
                <w:color w:val="auto"/>
              </w:rPr>
            </w:r>
            <w:r/>
          </w:p>
        </w:tc>
      </w:tr>
      <w:tr>
        <w:trPr>
          <w:jc w:val="center"/>
          <w:trHeight w:val="680"/>
        </w:trPr>
        <w:tc>
          <w:tcPr>
            <w:shd w:val="clear" w:color="auto" w:fill="auto"/>
            <w:tcW w:w="880" w:type="dxa"/>
            <w:vAlign w:val="center"/>
            <w:textDirection w:val="lrTb"/>
            <w:noWrap w:val="false"/>
          </w:tcPr>
          <w:p>
            <w:pPr>
              <w:pStyle w:val="959"/>
              <w:ind w:firstLine="0"/>
              <w:jc w:val="center"/>
              <w:spacing w:before="0" w:after="0" w:line="240" w:lineRule="auto"/>
              <w:rPr>
                <w:rFonts w:ascii="宋体" w:hAnsi="宋体" w:eastAsia="宋体" w:cs="Times New Roman"/>
                <w:color w:val="auto"/>
                <w:sz w:val="24"/>
                <w:szCs w:val="24"/>
                <w:lang w:val="en-US" w:eastAsia="zh-CN" w:bidi="ar-SA"/>
              </w:rPr>
            </w:pPr>
            <w:r>
              <w:rPr>
                <w:rFonts w:hint="eastAsia" w:ascii="宋体" w:hAnsi="宋体"/>
                <w:color w:val="auto"/>
              </w:rPr>
              <w:t xml:space="preserve">5</w:t>
            </w:r>
            <w:r/>
          </w:p>
        </w:tc>
        <w:tc>
          <w:tcPr>
            <w:shd w:val="clear" w:color="auto" w:fill="auto"/>
            <w:tcW w:w="6445" w:type="dxa"/>
            <w:vAlign w:val="center"/>
            <w:textDirection w:val="lrTb"/>
            <w:noWrap w:val="false"/>
          </w:tcPr>
          <w:p>
            <w:pPr>
              <w:pStyle w:val="959"/>
              <w:ind w:firstLine="0"/>
              <w:jc w:val="both"/>
              <w:spacing w:before="0" w:after="0" w:line="240" w:lineRule="auto"/>
              <w:rPr>
                <w:rFonts w:ascii="宋体" w:hAnsi="宋体" w:cs="Arial"/>
                <w:color w:val="auto"/>
              </w:rPr>
            </w:pPr>
            <w:r>
              <w:rPr>
                <w:rFonts w:hint="eastAsia" w:ascii="宋体" w:hAnsi="宋体"/>
                <w:color w:val="auto"/>
              </w:rPr>
              <w:t xml:space="preserve">项目技术要求偏离表</w:t>
            </w:r>
            <w:r>
              <w:rPr>
                <w:rFonts w:hint="eastAsia" w:ascii="宋体" w:hAnsi="宋体"/>
                <w:b/>
                <w:bCs/>
                <w:color w:val="auto"/>
              </w:rPr>
              <w:t xml:space="preserve">（给定格式）</w:t>
            </w:r>
            <w:r/>
          </w:p>
        </w:tc>
        <w:tc>
          <w:tcPr>
            <w:tcW w:w="2263" w:type="dxa"/>
            <w:vAlign w:val="center"/>
            <w:vMerge w:val="restart"/>
            <w:textDirection w:val="lrTb"/>
            <w:noWrap w:val="false"/>
          </w:tcPr>
          <w:p>
            <w:pPr>
              <w:pStyle w:val="959"/>
              <w:ind w:firstLine="0"/>
              <w:jc w:val="center"/>
              <w:spacing w:before="0" w:after="0" w:line="240" w:lineRule="auto"/>
              <w:rPr>
                <w:rFonts w:cs="Arial"/>
                <w:color w:val="auto"/>
              </w:rPr>
            </w:pPr>
            <w:r>
              <w:rPr>
                <w:rFonts w:hint="eastAsia"/>
                <w:b/>
                <w:color w:val="auto"/>
                <w:sz w:val="28"/>
                <w:szCs w:val="28"/>
              </w:rPr>
              <w:t xml:space="preserve">符合性证明文件（</w:t>
            </w:r>
            <w:r>
              <w:rPr>
                <w:rFonts w:hint="eastAsia" w:cs="Arial"/>
                <w:color w:val="auto"/>
              </w:rPr>
              <w:t xml:space="preserve">技术符合性</w:t>
            </w:r>
            <w:r>
              <w:rPr>
                <w:rFonts w:hint="eastAsia"/>
                <w:b/>
                <w:color w:val="auto"/>
                <w:sz w:val="28"/>
                <w:szCs w:val="28"/>
              </w:rPr>
              <w:t xml:space="preserve">）</w:t>
            </w:r>
            <w:r/>
          </w:p>
        </w:tc>
      </w:tr>
      <w:tr>
        <w:trPr>
          <w:jc w:val="center"/>
          <w:trHeight w:val="680"/>
        </w:trPr>
        <w:tc>
          <w:tcPr>
            <w:shd w:val="clear" w:color="auto" w:fill="auto"/>
            <w:tcW w:w="880" w:type="dxa"/>
            <w:vAlign w:val="center"/>
            <w:textDirection w:val="lrTb"/>
            <w:noWrap w:val="false"/>
          </w:tcPr>
          <w:p>
            <w:pPr>
              <w:pStyle w:val="959"/>
              <w:ind w:firstLine="0"/>
              <w:jc w:val="center"/>
              <w:spacing w:before="0" w:after="0" w:line="240" w:lineRule="auto"/>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6</w:t>
            </w:r>
            <w:r/>
          </w:p>
        </w:tc>
        <w:tc>
          <w:tcPr>
            <w:shd w:val="clear" w:color="auto" w:fill="auto"/>
            <w:tcW w:w="6445" w:type="dxa"/>
            <w:vAlign w:val="center"/>
            <w:textDirection w:val="lrTb"/>
            <w:noWrap w:val="false"/>
          </w:tcPr>
          <w:p>
            <w:pPr>
              <w:pStyle w:val="959"/>
              <w:ind w:firstLine="0"/>
              <w:jc w:val="both"/>
              <w:spacing w:before="0" w:after="0" w:line="240" w:lineRule="auto"/>
              <w:rPr>
                <w:rFonts w:ascii="宋体" w:hAnsi="宋体"/>
                <w:color w:val="auto"/>
              </w:rPr>
            </w:pPr>
            <w:r>
              <w:rPr>
                <w:rFonts w:hint="eastAsia" w:ascii="宋体" w:hAnsi="宋体"/>
                <w:color w:val="auto"/>
              </w:rPr>
              <w:t xml:space="preserve">《采购需求》中要求提供的证明材料</w:t>
            </w:r>
            <w:r>
              <w:rPr>
                <w:rFonts w:hint="eastAsia" w:ascii="宋体" w:hAnsi="宋体"/>
                <w:b/>
                <w:bCs/>
                <w:color w:val="auto"/>
              </w:rPr>
              <w:t xml:space="preserve">（如有）</w:t>
            </w:r>
            <w:r/>
          </w:p>
        </w:tc>
        <w:tc>
          <w:tcPr>
            <w:tcW w:w="2263" w:type="dxa"/>
            <w:vAlign w:val="center"/>
            <w:vMerge w:val="continue"/>
            <w:textDirection w:val="lrTb"/>
            <w:noWrap w:val="false"/>
          </w:tcPr>
          <w:p>
            <w:pPr>
              <w:pStyle w:val="959"/>
              <w:ind w:firstLine="0"/>
              <w:jc w:val="center"/>
              <w:spacing w:before="0" w:after="0" w:line="240" w:lineRule="auto"/>
              <w:rPr>
                <w:rFonts w:cs="Arial"/>
                <w:color w:val="auto"/>
              </w:rPr>
            </w:pPr>
            <w:r>
              <w:rPr>
                <w:rFonts w:cs="Arial"/>
                <w:color w:val="auto"/>
              </w:rPr>
            </w:r>
            <w:r/>
          </w:p>
        </w:tc>
      </w:tr>
    </w:tbl>
    <w:p>
      <w:pPr>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说明：</w:t>
      </w:r>
      <w:r/>
    </w:p>
    <w:p>
      <w:pPr>
        <w:numPr>
          <w:ilvl w:val="0"/>
          <w:numId w:val="9"/>
        </w:numPr>
        <w:ind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上述</w:t>
      </w:r>
      <w:r>
        <w:rPr>
          <w:rFonts w:hint="eastAsia" w:cs="Arial"/>
          <w:color w:val="auto"/>
          <w:sz w:val="24"/>
          <w:szCs w:val="24"/>
        </w:rPr>
        <w:t xml:space="preserve">符合性证明文件第</w:t>
      </w:r>
      <w:r>
        <w:rPr>
          <w:rFonts w:hint="eastAsia" w:ascii="宋体" w:hAnsi="宋体"/>
          <w:color w:val="auto"/>
          <w:sz w:val="24"/>
          <w:szCs w:val="24"/>
        </w:rPr>
        <w:t xml:space="preserve">1～</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项必须按要求全部提供（有给定格式的，必须按给定格式的要求正确填报并提供，相应格式见本章第二部分），否则响应文件无效。</w:t>
      </w:r>
      <w:r/>
    </w:p>
    <w:p>
      <w:pPr>
        <w:numPr>
          <w:ilvl w:val="0"/>
          <w:numId w:val="9"/>
        </w:numPr>
        <w:ind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上述</w:t>
      </w:r>
      <w:r>
        <w:rPr>
          <w:rFonts w:hint="eastAsia" w:ascii="宋体" w:hAnsi="宋体" w:cs="Arial"/>
          <w:color w:val="auto"/>
          <w:sz w:val="24"/>
          <w:szCs w:val="24"/>
        </w:rPr>
        <w:t xml:space="preserve">符合性证明文件第</w:t>
      </w:r>
      <w:r>
        <w:rPr>
          <w:rFonts w:hint="eastAsia" w:ascii="宋体" w:hAnsi="宋体" w:cs="Arial"/>
          <w:color w:val="auto"/>
          <w:sz w:val="24"/>
          <w:szCs w:val="24"/>
          <w:lang w:val="en-US" w:eastAsia="zh-CN"/>
        </w:rPr>
        <w:t xml:space="preserve">6</w:t>
      </w:r>
      <w:r>
        <w:rPr>
          <w:rFonts w:hint="eastAsia" w:ascii="宋体" w:hAnsi="宋体" w:cs="Arial"/>
          <w:color w:val="auto"/>
          <w:sz w:val="24"/>
          <w:szCs w:val="24"/>
        </w:rPr>
        <w:t xml:space="preserve">项，本磋商文件“第三章 项目技术要求和有关说明”中如有要求提供证明材料的，须按要求提供，否则</w:t>
      </w:r>
      <w:r>
        <w:rPr>
          <w:rFonts w:hint="eastAsia" w:ascii="宋体" w:hAnsi="宋体"/>
          <w:color w:val="auto"/>
          <w:sz w:val="24"/>
          <w:szCs w:val="24"/>
        </w:rPr>
        <w:t xml:space="preserve">响应</w:t>
      </w:r>
      <w:r>
        <w:rPr>
          <w:rFonts w:hint="eastAsia" w:ascii="宋体" w:hAnsi="宋体" w:cs="Arial"/>
          <w:color w:val="auto"/>
          <w:sz w:val="24"/>
          <w:szCs w:val="24"/>
        </w:rPr>
        <w:t xml:space="preserve">文件无效。</w:t>
      </w:r>
      <w:r/>
    </w:p>
    <w:p>
      <w:pPr>
        <w:numPr>
          <w:ilvl w:val="0"/>
          <w:numId w:val="9"/>
        </w:numPr>
        <w:ind w:firstLine="480"/>
        <w:keepLines w:val="0"/>
        <w:keepNext w:val="0"/>
        <w:pageBreakBefore w:val="0"/>
        <w:spacing w:line="500" w:lineRule="exact"/>
        <w:widowControl w:val="off"/>
        <w:rPr>
          <w:rFonts w:ascii="宋体" w:hAnsi="宋体"/>
          <w:color w:val="auto"/>
          <w:sz w:val="24"/>
          <w:szCs w:val="24"/>
        </w:rPr>
      </w:pPr>
      <w:r>
        <w:rPr>
          <w:rFonts w:hint="eastAsia" w:ascii="宋体" w:hAnsi="宋体"/>
          <w:color w:val="auto"/>
          <w:sz w:val="24"/>
          <w:szCs w:val="24"/>
        </w:rPr>
        <w:t xml:space="preserve">上述</w:t>
      </w:r>
      <w:r>
        <w:rPr>
          <w:rFonts w:hint="eastAsia" w:ascii="宋体" w:hAnsi="宋体" w:cs="Arial"/>
          <w:color w:val="auto"/>
          <w:sz w:val="24"/>
          <w:szCs w:val="24"/>
        </w:rPr>
        <w:t xml:space="preserve">符合性证明文件第</w:t>
      </w:r>
      <w:r>
        <w:rPr>
          <w:rFonts w:hint="eastAsia" w:ascii="宋体" w:hAnsi="宋体" w:cs="Arial"/>
          <w:color w:val="auto"/>
          <w:sz w:val="24"/>
          <w:szCs w:val="24"/>
          <w:lang w:val="en-US" w:eastAsia="zh-CN"/>
        </w:rPr>
        <w:t xml:space="preserve">6</w:t>
      </w:r>
      <w:r>
        <w:rPr>
          <w:rFonts w:hint="eastAsia" w:ascii="宋体" w:hAnsi="宋体" w:cs="Arial"/>
          <w:color w:val="auto"/>
          <w:sz w:val="24"/>
          <w:szCs w:val="24"/>
        </w:rPr>
        <w:t xml:space="preserve">项，本项目如有涉及</w:t>
      </w:r>
      <w:r>
        <w:rPr>
          <w:rFonts w:hint="eastAsia" w:ascii="宋体" w:hAnsi="宋体"/>
          <w:b/>
          <w:color w:val="auto"/>
          <w:sz w:val="24"/>
          <w:szCs w:val="24"/>
          <w:lang w:val="zh-CN"/>
        </w:rPr>
        <w:t xml:space="preserve">强制采购节能产品、信息安全产品</w:t>
      </w:r>
      <w:r>
        <w:rPr>
          <w:rFonts w:hint="eastAsia" w:ascii="宋体" w:hAnsi="宋体"/>
          <w:bCs/>
          <w:color w:val="auto"/>
          <w:sz w:val="24"/>
          <w:szCs w:val="24"/>
          <w:lang w:val="zh-CN"/>
        </w:rPr>
        <w:t xml:space="preserve">的</w:t>
      </w:r>
      <w:r>
        <w:rPr>
          <w:rFonts w:hint="eastAsia" w:ascii="宋体" w:hAnsi="宋体" w:cs="Arial"/>
          <w:color w:val="auto"/>
          <w:sz w:val="24"/>
          <w:szCs w:val="24"/>
        </w:rPr>
        <w:t xml:space="preserve">，须按要求提供相关证明材料，否则响应文件无效。</w:t>
      </w:r>
      <w:r/>
    </w:p>
    <w:p>
      <w:pPr>
        <w:numPr>
          <w:ilvl w:val="0"/>
          <w:numId w:val="9"/>
        </w:numPr>
        <w:ind w:firstLine="480"/>
        <w:keepLines w:val="0"/>
        <w:keepNext w:val="0"/>
        <w:pageBreakBefore w:val="0"/>
        <w:spacing w:line="500" w:lineRule="exact"/>
        <w:widowControl w:val="off"/>
        <w:rPr>
          <w:rFonts w:ascii="宋体" w:hAnsi="宋体" w:cs="宋体"/>
          <w:color w:val="auto"/>
          <w:sz w:val="24"/>
          <w:szCs w:val="24"/>
        </w:rPr>
      </w:pPr>
      <w:r>
        <w:rPr>
          <w:rFonts w:hint="eastAsia" w:ascii="宋体" w:hAnsi="宋体" w:cs="宋体"/>
          <w:color w:val="auto"/>
          <w:sz w:val="24"/>
          <w:szCs w:val="24"/>
        </w:rPr>
        <w:t xml:space="preserve">如项目接受联合体报价，且供应商为联合体时，上述</w:t>
      </w:r>
      <w:r>
        <w:rPr>
          <w:rFonts w:hint="eastAsia" w:cs="Arial"/>
          <w:color w:val="auto"/>
          <w:sz w:val="24"/>
          <w:szCs w:val="24"/>
        </w:rPr>
        <w:t xml:space="preserve">符合性证明文件</w:t>
      </w:r>
      <w:r>
        <w:rPr>
          <w:rFonts w:hint="eastAsia" w:ascii="宋体" w:hAnsi="宋体" w:cs="宋体"/>
          <w:color w:val="auto"/>
          <w:sz w:val="24"/>
          <w:szCs w:val="24"/>
        </w:rPr>
        <w:t xml:space="preserve">第1～</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项可由联合体主体单位（即联合体牵头人）代表联合体提供。第</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项按《采购需求》中的相应要求（如有）进行提供。</w:t>
      </w:r>
      <w:r/>
    </w:p>
    <w:p>
      <w:pPr>
        <w:pStyle w:val="959"/>
        <w:ind w:firstLine="0"/>
        <w:spacing w:line="500" w:lineRule="exact"/>
        <w:rPr>
          <w:rFonts w:hint="eastAsia" w:eastAsia="宋体" w:cs="Times New Roman"/>
          <w:b/>
          <w:color w:val="auto"/>
          <w:sz w:val="28"/>
          <w:szCs w:val="28"/>
        </w:rPr>
      </w:pPr>
      <w:r>
        <w:rPr>
          <w:rFonts w:hint="eastAsia" w:eastAsia="宋体" w:cs="Times New Roman"/>
          <w:b/>
          <w:color w:val="auto"/>
          <w:sz w:val="28"/>
          <w:szCs w:val="28"/>
        </w:rPr>
        <w:t xml:space="preserve">（二）评审因素</w:t>
      </w:r>
      <w:r/>
    </w:p>
    <w:p>
      <w:pPr>
        <w:numPr>
          <w:ilvl w:val="0"/>
          <w:numId w:val="0"/>
        </w:numPr>
        <w:ind w:firstLine="480"/>
        <w:keepLines w:val="0"/>
        <w:keepNext w:val="0"/>
        <w:pageBreakBefore w:val="0"/>
        <w:spacing w:line="500" w:lineRule="exact"/>
        <w:widowControl w:val="off"/>
        <w:rPr>
          <w:rFonts w:hint="eastAsia" w:cs="Arial"/>
          <w:color w:val="auto"/>
          <w:sz w:val="24"/>
          <w:szCs w:val="24"/>
        </w:rPr>
      </w:pPr>
      <w:r>
        <w:rPr>
          <w:rFonts w:hint="eastAsia" w:cs="Arial"/>
          <w:color w:val="auto"/>
          <w:sz w:val="24"/>
          <w:szCs w:val="24"/>
        </w:rPr>
        <w:t xml:space="preserve">1、《评审方法和标准》中涉及的证明文件</w:t>
      </w:r>
      <w:r/>
    </w:p>
    <w:p>
      <w:pPr>
        <w:pStyle w:val="959"/>
        <w:ind w:firstLine="0"/>
        <w:keepLines w:val="0"/>
        <w:keepNext w:val="0"/>
        <w:pageBreakBefore w:val="0"/>
        <w:spacing w:line="400" w:lineRule="exact"/>
        <w:widowControl w:val="off"/>
        <w:rPr>
          <w:rFonts w:hint="eastAsia" w:eastAsia="宋体" w:cs="Arial"/>
          <w:b/>
          <w:color w:val="auto"/>
          <w:sz w:val="30"/>
          <w:szCs w:val="30"/>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Arial"/>
          <w:b/>
          <w:color w:val="auto"/>
          <w:sz w:val="30"/>
          <w:szCs w:val="30"/>
        </w:rPr>
      </w:r>
      <w:r/>
    </w:p>
    <w:p>
      <w:pPr>
        <w:pStyle w:val="959"/>
        <w:ind w:firstLine="0"/>
        <w:spacing w:line="500" w:lineRule="exact"/>
        <w:rPr>
          <w:rFonts w:hint="eastAsia" w:eastAsia="宋体" w:cs="Times New Roman"/>
          <w:b/>
          <w:color w:val="auto"/>
          <w:sz w:val="28"/>
          <w:szCs w:val="28"/>
        </w:rPr>
      </w:pPr>
      <w:r>
        <w:rPr>
          <w:rFonts w:hint="eastAsia" w:eastAsia="宋体" w:cs="Times New Roman"/>
          <w:b/>
          <w:color w:val="auto"/>
          <w:sz w:val="28"/>
          <w:szCs w:val="28"/>
        </w:rPr>
        <w:t xml:space="preserve">三、企业报价折扣证明</w:t>
      </w:r>
      <w:r/>
    </w:p>
    <w:tbl>
      <w:tblPr>
        <w:tblStyle w:val="948"/>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2278"/>
        <w:gridCol w:w="3627"/>
        <w:gridCol w:w="2594"/>
      </w:tblGrid>
      <w:tr>
        <w:trPr>
          <w:jc w:val="center"/>
          <w:trHeight w:val="1089"/>
        </w:trPr>
        <w:tc>
          <w:tcPr>
            <w:tcW w:w="1107" w:type="dxa"/>
            <w:vAlign w:val="center"/>
            <w:textDirection w:val="lrTb"/>
            <w:noWrap w:val="false"/>
          </w:tcPr>
          <w:p>
            <w:pPr>
              <w:pStyle w:val="959"/>
              <w:ind w:firstLine="0"/>
              <w:jc w:val="center"/>
              <w:spacing w:before="0" w:after="0" w:line="240" w:lineRule="auto"/>
              <w:rPr>
                <w:rFonts w:ascii="宋体" w:hAnsi="宋体" w:cs="宋体"/>
                <w:b/>
                <w:color w:val="auto"/>
              </w:rPr>
            </w:pPr>
            <w:r>
              <w:rPr>
                <w:rFonts w:hint="eastAsia" w:ascii="宋体" w:hAnsi="宋体" w:cs="宋体"/>
                <w:b/>
                <w:color w:val="auto"/>
              </w:rPr>
              <w:t xml:space="preserve">序号</w:t>
            </w:r>
            <w:r/>
          </w:p>
        </w:tc>
        <w:tc>
          <w:tcPr>
            <w:tcW w:w="2278" w:type="dxa"/>
            <w:vAlign w:val="center"/>
            <w:textDirection w:val="lrTb"/>
            <w:noWrap w:val="false"/>
          </w:tcPr>
          <w:p>
            <w:pPr>
              <w:pStyle w:val="959"/>
              <w:ind w:firstLine="0"/>
              <w:jc w:val="center"/>
              <w:spacing w:before="0" w:after="0" w:line="240" w:lineRule="auto"/>
              <w:rPr>
                <w:rFonts w:ascii="宋体" w:hAnsi="宋体" w:cs="宋体"/>
                <w:b/>
                <w:color w:val="auto"/>
              </w:rPr>
            </w:pPr>
            <w:r>
              <w:rPr>
                <w:rFonts w:hint="eastAsia" w:ascii="宋体" w:hAnsi="宋体" w:cs="宋体"/>
                <w:b/>
                <w:color w:val="auto"/>
              </w:rPr>
              <w:t xml:space="preserve">评审项目</w:t>
            </w:r>
            <w:r/>
          </w:p>
        </w:tc>
        <w:tc>
          <w:tcPr>
            <w:tcW w:w="3627" w:type="dxa"/>
            <w:vAlign w:val="center"/>
            <w:textDirection w:val="lrTb"/>
            <w:noWrap w:val="false"/>
          </w:tcPr>
          <w:p>
            <w:pPr>
              <w:pStyle w:val="959"/>
              <w:ind w:left="0" w:firstLine="0"/>
              <w:jc w:val="center"/>
              <w:spacing w:before="0" w:after="0" w:line="240" w:lineRule="auto"/>
              <w:rPr>
                <w:rFonts w:ascii="宋体" w:hAnsi="宋体" w:cs="宋体"/>
                <w:b/>
                <w:color w:val="auto"/>
              </w:rPr>
            </w:pPr>
            <w:r>
              <w:rPr>
                <w:rFonts w:hint="eastAsia" w:ascii="宋体" w:hAnsi="宋体" w:cs="宋体"/>
                <w:b/>
                <w:color w:val="auto"/>
              </w:rPr>
              <w:t xml:space="preserve">评审要求</w:t>
            </w:r>
            <w:r/>
          </w:p>
        </w:tc>
        <w:tc>
          <w:tcPr>
            <w:tcW w:w="2594" w:type="dxa"/>
            <w:vAlign w:val="center"/>
            <w:textDirection w:val="lrTb"/>
            <w:noWrap w:val="false"/>
          </w:tcPr>
          <w:p>
            <w:pPr>
              <w:pStyle w:val="959"/>
              <w:ind w:firstLine="0"/>
              <w:jc w:val="center"/>
              <w:spacing w:before="0" w:after="0" w:line="240" w:lineRule="auto"/>
              <w:rPr>
                <w:rFonts w:ascii="宋体" w:hAnsi="宋体" w:cs="宋体"/>
                <w:b/>
                <w:color w:val="auto"/>
              </w:rPr>
            </w:pPr>
            <w:r>
              <w:rPr>
                <w:rFonts w:hint="eastAsia" w:ascii="宋体" w:hAnsi="宋体" w:cs="宋体"/>
                <w:b/>
                <w:color w:val="auto"/>
              </w:rPr>
              <w:t xml:space="preserve">审查因素</w:t>
            </w:r>
            <w:r/>
          </w:p>
        </w:tc>
      </w:tr>
      <w:tr>
        <w:trPr>
          <w:jc w:val="center"/>
          <w:trHeight w:val="1761"/>
        </w:trPr>
        <w:tc>
          <w:tcPr>
            <w:tcW w:w="1107" w:type="dxa"/>
            <w:vAlign w:val="center"/>
            <w:textDirection w:val="lrTb"/>
            <w:noWrap w:val="false"/>
          </w:tcPr>
          <w:p>
            <w:pPr>
              <w:pStyle w:val="959"/>
              <w:ind w:firstLine="0"/>
              <w:jc w:val="center"/>
              <w:keepLines w:val="0"/>
              <w:keepNext w:val="0"/>
              <w:pageBreakBefore w:val="0"/>
              <w:spacing w:before="0" w:after="0" w:line="400" w:lineRule="exact"/>
              <w:widowControl w:val="off"/>
              <w:rPr>
                <w:rFonts w:ascii="宋体" w:hAnsi="宋体" w:cs="宋体"/>
                <w:color w:val="auto"/>
              </w:rPr>
            </w:pPr>
            <w:r>
              <w:rPr>
                <w:rFonts w:hint="eastAsia" w:ascii="宋体" w:hAnsi="宋体" w:cs="宋体"/>
                <w:color w:val="auto"/>
              </w:rPr>
              <w:t xml:space="preserve">1</w:t>
            </w:r>
            <w:r/>
          </w:p>
        </w:tc>
        <w:tc>
          <w:tcPr>
            <w:tcW w:w="2278" w:type="dxa"/>
            <w:vAlign w:val="center"/>
            <w:textDirection w:val="lrTb"/>
            <w:noWrap w:val="false"/>
          </w:tcPr>
          <w:p>
            <w:pPr>
              <w:pStyle w:val="959"/>
              <w:ind w:firstLine="0"/>
              <w:jc w:val="center"/>
              <w:keepLines w:val="0"/>
              <w:keepNext w:val="0"/>
              <w:pageBreakBefore w:val="0"/>
              <w:spacing w:before="0" w:after="0" w:line="400" w:lineRule="exact"/>
              <w:widowControl w:val="off"/>
              <w:rPr>
                <w:rFonts w:ascii="宋体" w:hAnsi="宋体"/>
                <w:bCs/>
                <w:color w:val="auto"/>
              </w:rPr>
            </w:pPr>
            <w:r>
              <w:rPr>
                <w:rFonts w:hint="eastAsia" w:ascii="宋体" w:hAnsi="宋体"/>
                <w:bCs/>
                <w:color w:val="auto"/>
                <w:lang w:val="zh-CN"/>
              </w:rPr>
              <w:t xml:space="preserve">政府采购支持中小企业发展</w:t>
            </w:r>
            <w:r/>
          </w:p>
        </w:tc>
        <w:tc>
          <w:tcPr>
            <w:tcW w:w="3627" w:type="dxa"/>
            <w:vAlign w:val="center"/>
            <w:textDirection w:val="lrTb"/>
            <w:noWrap w:val="false"/>
          </w:tcPr>
          <w:p>
            <w:pPr>
              <w:pStyle w:val="959"/>
              <w:ind w:firstLine="0"/>
              <w:jc w:val="center"/>
              <w:keepLines w:val="0"/>
              <w:keepNext w:val="0"/>
              <w:pageBreakBefore w:val="0"/>
              <w:spacing w:before="0" w:after="0" w:line="400" w:lineRule="exact"/>
              <w:widowControl w:val="off"/>
              <w:rPr>
                <w:rFonts w:ascii="宋体" w:hAnsi="宋体" w:cs="宋体"/>
                <w:color w:val="auto"/>
              </w:rPr>
            </w:pPr>
            <w:r>
              <w:rPr>
                <w:rFonts w:hint="eastAsia" w:ascii="宋体" w:hAnsi="宋体"/>
                <w:b/>
                <w:bCs w:val="0"/>
                <w:color w:val="auto"/>
              </w:rPr>
              <w:t xml:space="preserve">本项目</w:t>
            </w:r>
            <w:r>
              <w:rPr>
                <w:rFonts w:hint="eastAsia" w:ascii="宋体" w:hAnsi="宋体"/>
                <w:b/>
                <w:bCs/>
                <w:color w:val="auto"/>
              </w:rPr>
              <w:t xml:space="preserve">专门面向中小企业采购，不做价格扣除。</w:t>
            </w:r>
            <w:r/>
          </w:p>
        </w:tc>
        <w:tc>
          <w:tcPr>
            <w:tcW w:w="2594" w:type="dxa"/>
            <w:vAlign w:val="center"/>
            <w:textDirection w:val="lrTb"/>
            <w:noWrap w:val="false"/>
          </w:tcPr>
          <w:p>
            <w:pPr>
              <w:pStyle w:val="959"/>
              <w:ind w:firstLine="0"/>
              <w:jc w:val="center"/>
              <w:keepLines w:val="0"/>
              <w:keepNext w:val="0"/>
              <w:pageBreakBefore w:val="0"/>
              <w:spacing w:before="0" w:after="0" w:line="400" w:lineRule="exact"/>
              <w:widowControl w:val="off"/>
              <w:rPr>
                <w:rFonts w:ascii="宋体" w:hAnsi="宋体" w:cs="宋体"/>
                <w:color w:val="auto"/>
              </w:rPr>
            </w:pPr>
            <w:r>
              <w:rPr>
                <w:rFonts w:hint="eastAsia" w:ascii="宋体" w:hAnsi="宋体" w:cs="宋体"/>
                <w:color w:val="auto"/>
                <w:sz w:val="36"/>
                <w:szCs w:val="36"/>
              </w:rPr>
              <w:t xml:space="preserve">/</w:t>
            </w:r>
            <w:r/>
          </w:p>
        </w:tc>
      </w:tr>
    </w:tbl>
    <w:p>
      <w:pPr>
        <w:pStyle w:val="959"/>
        <w:ind w:firstLine="0"/>
        <w:keepLines w:val="0"/>
        <w:keepNext w:val="0"/>
        <w:pageBreakBefore w:val="0"/>
        <w:spacing w:line="400" w:lineRule="exact"/>
        <w:widowControl w:val="off"/>
        <w:rPr>
          <w:rFonts w:hint="eastAsia" w:eastAsia="宋体" w:cs="Arial"/>
          <w:b/>
          <w:color w:val="auto"/>
          <w:sz w:val="30"/>
          <w:szCs w:val="30"/>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Arial"/>
          <w:b/>
          <w:color w:val="auto"/>
          <w:sz w:val="30"/>
          <w:szCs w:val="30"/>
        </w:rPr>
      </w:r>
      <w:r/>
    </w:p>
    <w:p>
      <w:pPr>
        <w:pStyle w:val="959"/>
        <w:ind w:firstLine="0"/>
        <w:spacing w:line="500" w:lineRule="exact"/>
        <w:rPr>
          <w:rFonts w:hint="eastAsia" w:eastAsia="宋体" w:cs="Times New Roman"/>
          <w:b/>
          <w:color w:val="auto"/>
          <w:sz w:val="28"/>
          <w:szCs w:val="28"/>
        </w:rPr>
      </w:pPr>
      <w:r>
        <w:rPr>
          <w:rFonts w:hint="eastAsia" w:eastAsia="宋体" w:cs="Times New Roman"/>
          <w:b/>
          <w:color w:val="auto"/>
          <w:sz w:val="28"/>
          <w:szCs w:val="28"/>
        </w:rPr>
        <w:t xml:space="preserve">第二部分  响应文件格式</w:t>
      </w:r>
      <w:r/>
    </w:p>
    <w:p>
      <w:pPr>
        <w:pStyle w:val="959"/>
        <w:ind w:firstLine="0"/>
        <w:spacing w:line="500" w:lineRule="exact"/>
        <w:rPr>
          <w:rFonts w:hint="eastAsia" w:eastAsia="宋体" w:cs="Times New Roman"/>
          <w:b/>
          <w:color w:val="auto"/>
          <w:sz w:val="28"/>
          <w:szCs w:val="28"/>
        </w:rPr>
      </w:pPr>
      <w:r>
        <w:rPr>
          <w:rFonts w:hint="eastAsia" w:eastAsia="宋体" w:cs="Times New Roman"/>
          <w:b/>
          <w:color w:val="auto"/>
          <w:sz w:val="28"/>
          <w:szCs w:val="28"/>
        </w:rPr>
        <w:t xml:space="preserve">一、封面格式（参考格式）：</w:t>
      </w:r>
      <w:r/>
    </w:p>
    <w:p>
      <w:pPr>
        <w:rPr>
          <w:rFonts w:hint="eastAsia"/>
          <w:color w:val="auto"/>
        </w:rPr>
      </w:pPr>
      <w:r>
        <w:rPr>
          <w:rFonts w:hint="eastAsia"/>
          <w:color w:val="auto"/>
        </w:rPr>
      </w:r>
      <w:r/>
    </w:p>
    <w:p>
      <w:pP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响应文件</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1807"/>
        <w:rPr>
          <w:rFonts w:hint="eastAsia" w:ascii="宋体" w:hAnsi="宋体"/>
          <w:b/>
          <w:color w:val="auto"/>
          <w:sz w:val="30"/>
          <w:szCs w:val="30"/>
          <w:highlight w:val="none"/>
        </w:rPr>
      </w:pPr>
      <w:r/>
      <w:bookmarkStart w:id="201" w:name="_Toc24371"/>
      <w:r/>
      <w:r/>
    </w:p>
    <w:p>
      <w:pPr>
        <w:ind w:firstLine="2711"/>
        <w:rPr>
          <w:rFonts w:hint="eastAsia" w:ascii="宋体" w:hAnsi="宋体"/>
          <w:b/>
          <w:color w:val="auto"/>
          <w:sz w:val="30"/>
          <w:szCs w:val="30"/>
          <w:highlight w:val="none"/>
          <w:u w:val="single"/>
        </w:rPr>
      </w:pPr>
      <w:r>
        <w:rPr>
          <w:rFonts w:hint="eastAsia" w:ascii="宋体" w:hAnsi="宋体"/>
          <w:b/>
          <w:color w:val="auto"/>
          <w:sz w:val="30"/>
          <w:szCs w:val="30"/>
          <w:highlight w:val="none"/>
        </w:rPr>
        <w:t xml:space="preserve">项目名称：</w:t>
      </w:r>
      <w:r>
        <w:rPr>
          <w:rFonts w:hint="eastAsia" w:ascii="宋体" w:hAnsi="宋体"/>
          <w:b/>
          <w:color w:val="auto"/>
          <w:sz w:val="30"/>
          <w:szCs w:val="30"/>
          <w:highlight w:val="none"/>
          <w:u w:val="single"/>
        </w:rPr>
        <w:t xml:space="preserve">                   </w:t>
      </w:r>
      <w:r/>
    </w:p>
    <w:p>
      <w:pPr>
        <w:ind w:firstLine="2711"/>
        <w:rPr>
          <w:rFonts w:hint="eastAsia" w:ascii="宋体" w:hAnsi="宋体"/>
          <w:b/>
          <w:color w:val="auto"/>
          <w:sz w:val="30"/>
          <w:szCs w:val="30"/>
          <w:highlight w:val="none"/>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rPr>
        <w:t xml:space="preserve">                   </w:t>
      </w:r>
      <w:r>
        <w:rPr>
          <w:rFonts w:hint="eastAsia" w:ascii="宋体" w:hAnsi="宋体"/>
          <w:b/>
          <w:color w:val="auto"/>
          <w:sz w:val="30"/>
          <w:szCs w:val="30"/>
          <w:highlight w:val="none"/>
        </w:rPr>
        <w:t xml:space="preserve">           </w:t>
      </w:r>
      <w:r/>
    </w:p>
    <w:p>
      <w:pPr>
        <w:ind w:firstLine="2711"/>
        <w:rPr>
          <w:rFonts w:hint="eastAsia" w:ascii="宋体" w:hAnsi="宋体"/>
          <w:b/>
          <w:color w:val="auto"/>
          <w:sz w:val="30"/>
          <w:szCs w:val="30"/>
          <w:highlight w:val="none"/>
        </w:rPr>
      </w:pPr>
      <w:r>
        <w:rPr>
          <w:rFonts w:hint="eastAsia" w:ascii="宋体" w:hAnsi="宋体"/>
          <w:b/>
          <w:color w:val="auto"/>
          <w:sz w:val="30"/>
          <w:szCs w:val="30"/>
          <w:highlight w:val="none"/>
        </w:rPr>
        <w:t xml:space="preserve">供 应 商：</w:t>
      </w:r>
      <w:r>
        <w:rPr>
          <w:rFonts w:hint="eastAsia" w:ascii="宋体" w:hAnsi="宋体"/>
          <w:b/>
          <w:color w:val="auto"/>
          <w:sz w:val="30"/>
          <w:szCs w:val="30"/>
          <w:highlight w:val="none"/>
          <w:u w:val="single"/>
        </w:rPr>
        <w:t xml:space="preserve">                   </w:t>
      </w:r>
      <w:r>
        <w:rPr>
          <w:rFonts w:hint="eastAsia" w:ascii="宋体" w:hAnsi="宋体"/>
          <w:b/>
          <w:color w:val="auto"/>
          <w:sz w:val="30"/>
          <w:szCs w:val="30"/>
          <w:highlight w:val="none"/>
        </w:rPr>
        <w:t xml:space="preserve">                    </w:t>
      </w:r>
      <w:r/>
    </w:p>
    <w:p>
      <w:pPr>
        <w:ind w:firstLine="2711"/>
        <w:rPr>
          <w:rFonts w:hint="eastAsia" w:ascii="宋体" w:hAnsi="宋体"/>
          <w:b/>
          <w:color w:val="auto"/>
          <w:sz w:val="30"/>
          <w:szCs w:val="30"/>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
          <w:color w:val="auto"/>
          <w:sz w:val="30"/>
          <w:szCs w:val="30"/>
          <w:highlight w:val="none"/>
        </w:rPr>
        <w:t xml:space="preserve">日    期：</w:t>
      </w:r>
      <w:r>
        <w:rPr>
          <w:rFonts w:hint="eastAsia" w:ascii="宋体" w:hAnsi="宋体"/>
          <w:b/>
          <w:color w:val="auto"/>
          <w:sz w:val="30"/>
          <w:szCs w:val="30"/>
          <w:highlight w:val="none"/>
          <w:u w:val="single"/>
        </w:rPr>
        <w:t xml:space="preserve">                   </w:t>
      </w:r>
      <w:r>
        <w:rPr>
          <w:rFonts w:hint="eastAsia" w:ascii="宋体" w:hAnsi="宋体"/>
          <w:b/>
          <w:color w:val="auto"/>
          <w:sz w:val="30"/>
          <w:szCs w:val="30"/>
          <w:highlight w:val="none"/>
        </w:rPr>
        <w:t xml:space="preserve">  </w:t>
      </w:r>
      <w:bookmarkEnd w:id="198"/>
      <w:r/>
      <w:bookmarkEnd w:id="201"/>
      <w:r/>
      <w:r/>
    </w:p>
    <w:p>
      <w:pPr>
        <w:spacing w:line="360" w:lineRule="auto"/>
        <w:rPr>
          <w:rFonts w:hint="eastAsia" w:ascii="黑体" w:hAnsi="宋体" w:eastAsia="黑体" w:cs="Times New Roman"/>
          <w:bCs/>
          <w:color w:val="auto"/>
          <w:sz w:val="24"/>
          <w:szCs w:val="24"/>
          <w:highlight w:val="none"/>
        </w:rPr>
      </w:pPr>
      <w:r>
        <w:rPr>
          <w:rFonts w:hint="eastAsia" w:ascii="Arial" w:hAnsi="Arial" w:eastAsia="宋体" w:cs="Times New Roman"/>
          <w:b/>
          <w:color w:val="auto"/>
          <w:sz w:val="28"/>
          <w:szCs w:val="28"/>
          <w:lang w:val="en-US" w:eastAsia="zh-CN" w:bidi="ar-SA"/>
        </w:rPr>
        <w:t xml:space="preserve">二、磋商报价表：</w:t>
      </w:r>
      <w:bookmarkEnd w:id="199"/>
      <w:r/>
      <w:r/>
    </w:p>
    <w:p>
      <w:pPr>
        <w:jc w:val="center"/>
        <w:spacing w:before="156" w:after="156"/>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磋商报价表</w:t>
      </w:r>
      <w:r/>
    </w:p>
    <w:p>
      <w:pPr>
        <w:pStyle w:val="960"/>
        <w:ind w:left="0" w:firstLine="0"/>
        <w:jc w:val="both"/>
        <w:keepLines w:val="0"/>
        <w:keepNext w:val="0"/>
        <w:pageBreakBefore w:val="0"/>
        <w:spacing w:line="360" w:lineRule="auto"/>
        <w:widowControl w:val="off"/>
        <w:rPr>
          <w:rFonts w:hint="default"/>
          <w:color w:val="auto"/>
          <w:sz w:val="24"/>
          <w:szCs w:val="24"/>
          <w:highlight w:val="none"/>
          <w:lang w:val="en-US"/>
        </w:rPr>
      </w:pPr>
      <w:r>
        <w:rPr>
          <w:rFonts w:hint="eastAsia" w:ascii="宋体" w:hAnsi="宋体"/>
          <w:color w:val="auto"/>
          <w:sz w:val="24"/>
          <w:szCs w:val="24"/>
          <w:highlight w:val="none"/>
        </w:rPr>
        <w:t xml:space="preserve">本次为首次报价      </w:t>
      </w:r>
      <w:r>
        <w:rPr>
          <w:rFonts w:hint="default"/>
          <w:color w:val="auto"/>
          <w:sz w:val="24"/>
          <w:szCs w:val="24"/>
          <w:highlight w:val="none"/>
          <w:lang w:val="en-US"/>
        </w:rPr>
        <w:t xml:space="preserve">                                     </w:t>
      </w:r>
      <w:r/>
    </w:p>
    <w:p>
      <w:pPr>
        <w:pStyle w:val="960"/>
        <w:ind w:left="0" w:firstLine="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项目</w:t>
      </w:r>
      <w:r>
        <w:rPr>
          <w:rFonts w:hint="eastAsia" w:ascii="宋体" w:hAnsi="宋体" w:eastAsia="宋体" w:cs="Times New Roman"/>
          <w:color w:val="auto"/>
          <w:sz w:val="24"/>
          <w:szCs w:val="24"/>
          <w:highlight w:val="none"/>
        </w:rPr>
        <w:t xml:space="preserve">编号：</w:t>
      </w:r>
      <w:r>
        <w:rPr>
          <w:rFonts w:hint="eastAsia" w:cs="Times New Roman"/>
          <w:color w:val="auto"/>
          <w:sz w:val="24"/>
          <w:szCs w:val="24"/>
          <w:highlight w:val="none"/>
          <w:lang w:eastAsia="zh-CN"/>
        </w:rPr>
        <w:t xml:space="preserve">JSZC-320282-JSXY-C2025-0009</w:t>
      </w:r>
      <w:r/>
    </w:p>
    <w:p>
      <w:pPr>
        <w:pStyle w:val="960"/>
        <w:ind w:left="0" w:firstLine="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tbl>
      <w:tblPr>
        <w:tblStyle w:val="948"/>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208"/>
        <w:gridCol w:w="3259"/>
        <w:gridCol w:w="3201"/>
      </w:tblGrid>
      <w:tr>
        <w:trPr>
          <w:trHeight w:val="850"/>
        </w:trPr>
        <w:tc>
          <w:tcPr>
            <w:tcW w:w="3208" w:type="dxa"/>
            <w:vAlign w:val="center"/>
            <w:textDirection w:val="lrTb"/>
            <w:noWrap w:val="false"/>
          </w:tcPr>
          <w:p>
            <w:pPr>
              <w:jc w:val="center"/>
              <w:rPr>
                <w:rFonts w:hint="eastAsia" w:ascii="宋体" w:hAnsi="宋体"/>
                <w:b w:val="0"/>
                <w:bCs w:val="0"/>
                <w:color w:val="auto"/>
                <w:sz w:val="24"/>
                <w:szCs w:val="24"/>
              </w:rPr>
            </w:pPr>
            <w:r>
              <w:rPr>
                <w:rFonts w:hint="eastAsia" w:ascii="宋体" w:hAnsi="宋体"/>
                <w:b w:val="0"/>
                <w:bCs w:val="0"/>
                <w:color w:val="auto"/>
                <w:sz w:val="24"/>
                <w:szCs w:val="24"/>
              </w:rPr>
              <w:t xml:space="preserve">项目名称</w:t>
            </w:r>
            <w:r/>
          </w:p>
        </w:tc>
        <w:tc>
          <w:tcPr>
            <w:tcW w:w="3259" w:type="dxa"/>
            <w:vAlign w:val="center"/>
            <w:textDirection w:val="lrTb"/>
            <w:noWrap w:val="false"/>
          </w:tcPr>
          <w:p>
            <w:pPr>
              <w:jc w:val="center"/>
              <w:rPr>
                <w:rFonts w:hint="eastAsia" w:ascii="宋体" w:hAnsi="宋体"/>
                <w:b w:val="0"/>
                <w:bCs w:val="0"/>
                <w:color w:val="auto"/>
                <w:sz w:val="24"/>
                <w:szCs w:val="24"/>
              </w:rPr>
            </w:pPr>
            <w:r>
              <w:rPr>
                <w:rFonts w:hint="eastAsia" w:ascii="宋体" w:hAnsi="宋体"/>
                <w:b w:val="0"/>
                <w:bCs w:val="0"/>
                <w:color w:val="auto"/>
                <w:sz w:val="24"/>
                <w:szCs w:val="24"/>
              </w:rPr>
              <w:t xml:space="preserve">项目内容</w:t>
            </w:r>
            <w:r/>
          </w:p>
        </w:tc>
        <w:tc>
          <w:tcPr>
            <w:tcW w:w="3201" w:type="dxa"/>
            <w:vAlign w:val="center"/>
            <w:textDirection w:val="lrTb"/>
            <w:noWrap w:val="false"/>
          </w:tcPr>
          <w:p>
            <w:pPr>
              <w:jc w:val="center"/>
              <w:rPr>
                <w:rFonts w:hint="eastAsia" w:ascii="宋体" w:hAnsi="宋体"/>
                <w:b w:val="0"/>
                <w:bCs w:val="0"/>
                <w:color w:val="auto"/>
                <w:sz w:val="24"/>
                <w:szCs w:val="24"/>
              </w:rPr>
            </w:pPr>
            <w:r>
              <w:rPr>
                <w:rFonts w:hint="eastAsia" w:ascii="宋体" w:hAnsi="宋体"/>
                <w:b w:val="0"/>
                <w:bCs w:val="0"/>
                <w:color w:val="auto"/>
                <w:sz w:val="24"/>
                <w:szCs w:val="24"/>
              </w:rPr>
              <w:t xml:space="preserve">总价（小写）</w:t>
            </w:r>
            <w:r/>
          </w:p>
        </w:tc>
      </w:tr>
      <w:tr>
        <w:trPr>
          <w:trHeight w:val="850"/>
        </w:trPr>
        <w:tc>
          <w:tcPr>
            <w:tcW w:w="3208" w:type="dxa"/>
            <w:vAlign w:val="center"/>
            <w:textDirection w:val="lrTb"/>
            <w:noWrap w:val="false"/>
          </w:tcPr>
          <w:p>
            <w:pPr>
              <w:pStyle w:val="961"/>
              <w:jc w:val="center"/>
              <w:widowControl/>
              <w:rPr>
                <w:rFonts w:hint="eastAsia" w:ascii="宋体" w:hAnsi="宋体" w:eastAsia="宋体" w:cs="Times New Roman"/>
                <w:bCs/>
                <w:color w:val="auto"/>
                <w:sz w:val="24"/>
                <w:szCs w:val="24"/>
                <w:u w:val="none"/>
                <w:lang w:val="en-US" w:eastAsia="zh-CN" w:bidi="ar-SA"/>
              </w:rPr>
            </w:pPr>
            <w:r>
              <w:rPr>
                <w:rFonts w:hint="eastAsia" w:ascii="宋体" w:hAnsi="宋体" w:eastAsia="宋体" w:cs="Times New Roman"/>
                <w:bCs/>
                <w:color w:val="auto"/>
                <w:sz w:val="24"/>
                <w:szCs w:val="24"/>
                <w:u w:val="none"/>
                <w:lang w:val="en-US" w:eastAsia="zh-CN" w:bidi="ar-SA"/>
              </w:rPr>
            </w:r>
            <w:r/>
          </w:p>
        </w:tc>
        <w:tc>
          <w:tcPr>
            <w:tcW w:w="3259" w:type="dxa"/>
            <w:vAlign w:val="center"/>
            <w:textDirection w:val="lrTb"/>
            <w:noWrap w:val="false"/>
          </w:tcPr>
          <w:p>
            <w:pPr>
              <w:pStyle w:val="961"/>
              <w:jc w:val="center"/>
              <w:widowControl/>
              <w:rPr>
                <w:rFonts w:hint="eastAsia" w:ascii="宋体" w:hAnsi="宋体" w:eastAsia="宋体" w:cs="Times New Roman"/>
                <w:bCs/>
                <w:color w:val="auto"/>
                <w:sz w:val="24"/>
                <w:szCs w:val="24"/>
                <w:u w:val="none"/>
                <w:lang w:val="en-US" w:eastAsia="zh-CN" w:bidi="ar-SA"/>
              </w:rPr>
            </w:pPr>
            <w:r>
              <w:rPr>
                <w:rFonts w:hint="eastAsia" w:ascii="宋体" w:hAnsi="宋体" w:eastAsia="宋体" w:cs="Times New Roman"/>
                <w:bCs/>
                <w:color w:val="auto"/>
                <w:sz w:val="24"/>
                <w:szCs w:val="24"/>
                <w:u w:val="none"/>
                <w:lang w:val="en-US" w:eastAsia="zh-CN" w:bidi="ar-SA"/>
              </w:rPr>
              <w:t xml:space="preserve">详见响应文件</w:t>
            </w:r>
            <w:r/>
          </w:p>
        </w:tc>
        <w:tc>
          <w:tcPr>
            <w:tcW w:w="3201" w:type="dxa"/>
            <w:vAlign w:val="center"/>
            <w:textDirection w:val="lrTb"/>
            <w:noWrap w:val="false"/>
          </w:tcPr>
          <w:p>
            <w:pPr>
              <w:pStyle w:val="961"/>
              <w:jc w:val="center"/>
              <w:widowControl/>
              <w:rPr>
                <w:rFonts w:hint="eastAsia" w:ascii="宋体" w:hAnsi="宋体" w:eastAsia="宋体" w:cs="Times New Roman"/>
                <w:bCs/>
                <w:color w:val="auto"/>
                <w:sz w:val="24"/>
                <w:szCs w:val="24"/>
                <w:u w:val="none"/>
                <w:lang w:val="en-US" w:eastAsia="zh-CN" w:bidi="ar-SA"/>
              </w:rPr>
            </w:pPr>
            <w:r>
              <w:rPr>
                <w:rFonts w:hint="eastAsia" w:ascii="宋体" w:hAnsi="宋体" w:eastAsia="宋体" w:cs="Times New Roman"/>
                <w:bCs/>
                <w:color w:val="auto"/>
                <w:sz w:val="24"/>
                <w:szCs w:val="24"/>
                <w:u w:val="none"/>
                <w:lang w:val="en-US" w:eastAsia="zh-CN" w:bidi="ar-SA"/>
              </w:rPr>
              <w:t xml:space="preserve">元</w:t>
            </w:r>
            <w:r/>
          </w:p>
        </w:tc>
      </w:tr>
      <w:tr>
        <w:trPr>
          <w:trHeight w:val="850"/>
        </w:trPr>
        <w:tc>
          <w:tcPr>
            <w:tcW w:w="3208" w:type="dxa"/>
            <w:vAlign w:val="center"/>
            <w:textDirection w:val="lrTb"/>
            <w:noWrap w:val="false"/>
          </w:tcPr>
          <w:p>
            <w:pPr>
              <w:pStyle w:val="961"/>
              <w:jc w:val="center"/>
              <w:widowControl/>
              <w:rPr>
                <w:rFonts w:hint="eastAsia" w:ascii="宋体" w:hAnsi="宋体" w:eastAsia="宋体" w:cs="Times New Roman"/>
                <w:bCs/>
                <w:color w:val="auto"/>
                <w:sz w:val="24"/>
                <w:szCs w:val="24"/>
                <w:u w:val="none"/>
                <w:lang w:val="en-US" w:eastAsia="zh-CN" w:bidi="ar-SA"/>
              </w:rPr>
            </w:pPr>
            <w:r>
              <w:rPr>
                <w:rFonts w:hint="eastAsia" w:ascii="宋体" w:hAnsi="宋体" w:eastAsia="宋体" w:cs="Times New Roman"/>
                <w:bCs/>
                <w:color w:val="auto"/>
                <w:sz w:val="24"/>
                <w:szCs w:val="24"/>
                <w:u w:val="none"/>
                <w:lang w:val="en-US" w:eastAsia="zh-CN" w:bidi="ar-SA"/>
              </w:rPr>
              <w:t xml:space="preserve">总价（大写）：</w:t>
            </w:r>
            <w:r/>
          </w:p>
        </w:tc>
        <w:tc>
          <w:tcPr>
            <w:gridSpan w:val="2"/>
            <w:tcW w:w="6460" w:type="dxa"/>
            <w:vAlign w:val="center"/>
            <w:textDirection w:val="lrTb"/>
            <w:noWrap w:val="false"/>
          </w:tcPr>
          <w:p>
            <w:pPr>
              <w:pStyle w:val="961"/>
              <w:jc w:val="both"/>
              <w:widowControl/>
              <w:rPr>
                <w:rFonts w:hint="eastAsia" w:ascii="宋体" w:hAnsi="宋体" w:eastAsia="宋体" w:cs="Times New Roman"/>
                <w:bCs/>
                <w:color w:val="auto"/>
                <w:sz w:val="24"/>
                <w:szCs w:val="24"/>
                <w:u w:val="none"/>
                <w:lang w:val="en-US" w:eastAsia="zh-CN" w:bidi="ar-SA"/>
              </w:rPr>
            </w:pPr>
            <w:r>
              <w:rPr>
                <w:rFonts w:hint="eastAsia" w:ascii="宋体" w:hAnsi="宋体" w:eastAsia="宋体" w:cs="Times New Roman"/>
                <w:bCs/>
                <w:color w:val="auto"/>
                <w:sz w:val="24"/>
                <w:szCs w:val="24"/>
                <w:u w:val="none"/>
                <w:lang w:val="en-US" w:eastAsia="zh-CN" w:bidi="ar-SA"/>
              </w:rPr>
            </w:r>
            <w:r/>
          </w:p>
        </w:tc>
      </w:tr>
    </w:tbl>
    <w:p>
      <w:pPr>
        <w:ind w:left="1"/>
        <w:jc w:val="right"/>
        <w:rPr>
          <w:rFonts w:hint="eastAsia" w:ascii="宋体" w:hAnsi="宋体"/>
          <w:color w:val="auto"/>
          <w:sz w:val="24"/>
          <w:szCs w:val="24"/>
          <w:highlight w:val="none"/>
        </w:rPr>
      </w:pPr>
      <w:r>
        <w:rPr>
          <w:rFonts w:hint="eastAsia" w:ascii="宋体" w:hAnsi="宋体"/>
          <w:color w:val="auto"/>
          <w:sz w:val="24"/>
          <w:szCs w:val="24"/>
          <w:highlight w:val="none"/>
        </w:rPr>
      </w:r>
      <w:r/>
    </w:p>
    <w:p>
      <w:pPr>
        <w:ind w:firstLine="6000"/>
        <w:jc w:val="both"/>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lang w:val="zh-CN"/>
        </w:rPr>
        <w:t xml:space="preserve">供应商（电子签章）：</w:t>
      </w:r>
      <w:r/>
    </w:p>
    <w:p>
      <w:pPr>
        <w:jc w:val="both"/>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jc w:val="both"/>
        <w:keepLines w:val="0"/>
        <w:keepNext w:val="0"/>
        <w:pageBreakBefore w:val="0"/>
        <w:spacing w:line="360" w:lineRule="auto"/>
        <w:widowControl w:val="off"/>
        <w:rPr>
          <w:rFonts w:hint="eastAsia" w:ascii="宋体" w:hAnsi="宋体"/>
          <w:bCs/>
          <w:color w:val="auto"/>
          <w:sz w:val="22"/>
          <w:szCs w:val="18"/>
          <w:highlight w:val="none"/>
        </w:rPr>
      </w:pPr>
      <w:r>
        <w:rPr>
          <w:rFonts w:hint="eastAsia" w:ascii="宋体" w:hAnsi="宋体"/>
          <w:bCs/>
          <w:color w:val="auto"/>
          <w:sz w:val="22"/>
          <w:szCs w:val="18"/>
          <w:highlight w:val="none"/>
        </w:rPr>
        <w:t xml:space="preserve">注：</w:t>
      </w:r>
      <w:r/>
    </w:p>
    <w:p>
      <w:pPr>
        <w:ind w:left="0" w:firstLine="440"/>
        <w:jc w:val="both"/>
        <w:keepLines w:val="0"/>
        <w:keepNext w:val="0"/>
        <w:pageBreakBefore w:val="0"/>
        <w:spacing w:line="360" w:lineRule="auto"/>
        <w:widowControl w:val="off"/>
        <w:rPr>
          <w:rFonts w:hint="eastAsia" w:ascii="宋体" w:hAnsi="宋体"/>
          <w:bCs/>
          <w:color w:val="auto"/>
          <w:sz w:val="22"/>
          <w:szCs w:val="18"/>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auto"/>
          <w:sz w:val="22"/>
          <w:szCs w:val="18"/>
          <w:highlight w:val="none"/>
        </w:rPr>
        <w:t xml:space="preserve">因“苏采云”系统自带“磋商报价表”模块供应商须按“苏采云”系统中给定的模块格式，完整、正确地进行填报（具体位置为“基本目录”——“磋商报价表”），此处可不用再重复填报。供应商的“磋商报价表”及表中所填的报价均将以供应商在“苏采云”系统自带的模块格式中填报的为准。</w:t>
      </w:r>
      <w:r/>
    </w:p>
    <w:p>
      <w:pPr>
        <w:spacing w:line="360" w:lineRule="auto"/>
        <w:rPr>
          <w:rFonts w:hint="eastAsia" w:ascii="Arial" w:hAnsi="Arial" w:eastAsia="宋体" w:cs="Times New Roman"/>
          <w:b/>
          <w:color w:val="auto"/>
          <w:sz w:val="28"/>
          <w:szCs w:val="28"/>
          <w:lang w:val="en-US" w:eastAsia="zh-CN" w:bidi="ar-SA"/>
        </w:rPr>
      </w:pPr>
      <w:r>
        <w:rPr>
          <w:rFonts w:hint="eastAsia" w:ascii="Arial" w:hAnsi="Arial" w:eastAsia="宋体" w:cs="Times New Roman"/>
          <w:b/>
          <w:color w:val="auto"/>
          <w:sz w:val="28"/>
          <w:szCs w:val="28"/>
          <w:lang w:val="en-US" w:eastAsia="zh-CN" w:bidi="ar-SA"/>
        </w:rPr>
        <w:t xml:space="preserve">三、关于资格的声明函（给定格式）：</w:t>
      </w:r>
      <w:r/>
    </w:p>
    <w:p>
      <w:pPr>
        <w:jc w:val="center"/>
        <w:spacing w:before="156" w:after="156"/>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关于资格的声明函</w:t>
      </w:r>
      <w:r/>
    </w:p>
    <w:p>
      <w:pPr>
        <w:pStyle w:val="960"/>
        <w:ind w:left="0" w:firstLine="0"/>
        <w:rPr>
          <w:rFonts w:hint="eastAsia"/>
          <w:color w:val="auto"/>
          <w:lang w:val="zh-CN"/>
        </w:rPr>
      </w:pPr>
      <w:r>
        <w:rPr>
          <w:rFonts w:hint="eastAsia"/>
          <w:color w:val="auto"/>
          <w:lang w:val="zh-CN"/>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宜兴市杨巷镇人民政府</w:t>
      </w:r>
      <w:r>
        <w:rPr>
          <w:rFonts w:hint="eastAsia" w:ascii="宋体" w:hAns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val="en-US" w:eastAsia="zh-CN"/>
        </w:rPr>
        <w:t xml:space="preserve">JSZC-320282-JSXY-C2025-0009</w:t>
      </w:r>
      <w:r>
        <w:rPr>
          <w:rFonts w:hint="eastAsia" w:ascii="宋体" w:hAnsi="宋体"/>
          <w:bCs/>
          <w:color w:val="auto"/>
          <w:sz w:val="24"/>
          <w:szCs w:val="24"/>
          <w:highlight w:val="none"/>
        </w:rPr>
        <w:t xml:space="preserve">）政府采购活动前三年内在经营活动中没有重大违法记录；同时，提交响应文件时不存在有效期限内的政府采购严重违法失信行为的处罚记录，未被列入失信名单或重大税收违法失信主体；且具备履行合同所必需的设备和专业技术能力。我公司（单位）愿针对本次项目进行报价，响应文件中所有关于报价资格的文件、证明、陈述均是真实的、准确的。若有违背，我公司（单位）同意监管部门做出的相关决定并承担由此而产生的一切后果</w:t>
      </w:r>
      <w:r>
        <w:rPr>
          <w:rFonts w:hint="eastAsia" w:ascii="宋体"/>
          <w:bCs/>
          <w:color w:val="auto"/>
          <w:sz w:val="24"/>
          <w:szCs w:val="24"/>
          <w:highlight w:val="none"/>
        </w:rPr>
        <w:t xml:space="preserve">。</w:t>
      </w:r>
      <w:r/>
    </w:p>
    <w:p>
      <w:pPr>
        <w:pStyle w:val="960"/>
        <w:ind w:left="0" w:firstLine="0"/>
        <w:rPr>
          <w:rFonts w:hint="eastAsia"/>
          <w:color w:val="auto"/>
          <w:lang w:val="zh-CN"/>
        </w:rPr>
      </w:pPr>
      <w:r>
        <w:rPr>
          <w:rFonts w:hint="eastAsia"/>
          <w:color w:val="auto"/>
          <w:lang w:val="zh-CN"/>
        </w:rPr>
      </w:r>
      <w:r/>
    </w:p>
    <w:p>
      <w:pPr>
        <w:pStyle w:val="960"/>
        <w:ind w:left="0" w:firstLine="0"/>
        <w:rPr>
          <w:rFonts w:hint="eastAsia"/>
          <w:color w:val="auto"/>
          <w:lang w:val="zh-CN"/>
        </w:rPr>
      </w:pPr>
      <w:r>
        <w:rPr>
          <w:rFonts w:hint="eastAsia"/>
          <w:color w:val="auto"/>
          <w:lang w:val="zh-CN"/>
        </w:rPr>
      </w:r>
      <w:r/>
    </w:p>
    <w:p>
      <w:pPr>
        <w:ind w:left="0" w:firstLine="5280"/>
        <w:jc w:val="center"/>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pStyle w:val="960"/>
        <w:ind w:left="0" w:firstLine="0"/>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60"/>
        <w:ind w:left="0" w:firstLine="0"/>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60"/>
        <w:ind w:left="0" w:firstLine="440"/>
        <w:rPr>
          <w:rFonts w:hint="eastAsia" w:ascii="宋体" w:hAnsi="宋体"/>
          <w:bCs/>
          <w:color w:val="auto"/>
          <w:sz w:val="22"/>
          <w:szCs w:val="22"/>
          <w:highlight w:val="none"/>
          <w:lang w:val="zh-CN"/>
        </w:rPr>
      </w:pPr>
      <w:r>
        <w:rPr>
          <w:rFonts w:hint="eastAsia" w:ascii="宋体" w:hAnsi="宋体"/>
          <w:bCs/>
          <w:color w:val="auto"/>
          <w:sz w:val="22"/>
          <w:szCs w:val="22"/>
          <w:highlight w:val="none"/>
          <w:lang w:val="zh-CN"/>
        </w:rPr>
        <w:t xml:space="preserve">注：上述所称“重大违法记录”是指供应商因违法经营受到刑事处罚或者责令停产停业、吊销许可证或者执照、较大数额罚款等行政处罚。</w:t>
      </w:r>
      <w:r/>
    </w:p>
    <w:p>
      <w:pPr>
        <w:pStyle w:val="960"/>
        <w:ind w:left="0" w:firstLine="0"/>
        <w:rPr>
          <w:rFonts w:hint="eastAsia" w:ascii="宋体" w:hAnsi="宋体"/>
          <w:bCs/>
          <w:color w:val="auto"/>
          <w:sz w:val="24"/>
          <w:highlight w:val="none"/>
          <w:lang w:val="zh-CN"/>
        </w:rPr>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auto"/>
          <w:sz w:val="24"/>
          <w:highlight w:val="none"/>
          <w:lang w:val="zh-CN"/>
        </w:rPr>
      </w:r>
      <w:r/>
    </w:p>
    <w:p>
      <w:pPr>
        <w:spacing w:line="360" w:lineRule="auto"/>
        <w:rPr>
          <w:rFonts w:hint="eastAsia" w:ascii="Arial" w:hAnsi="Arial" w:eastAsia="宋体" w:cs="Times New Roman"/>
          <w:b/>
          <w:color w:val="auto"/>
          <w:sz w:val="28"/>
          <w:szCs w:val="28"/>
          <w:lang w:val="en-US" w:eastAsia="zh-CN" w:bidi="ar-SA"/>
        </w:rPr>
      </w:pPr>
      <w:r>
        <w:rPr>
          <w:rFonts w:hint="eastAsia" w:ascii="Arial" w:hAnsi="Arial" w:eastAsia="宋体" w:cs="Times New Roman"/>
          <w:b/>
          <w:color w:val="auto"/>
          <w:sz w:val="28"/>
          <w:szCs w:val="28"/>
          <w:lang w:val="en-US" w:eastAsia="zh-CN" w:bidi="ar-SA"/>
        </w:rPr>
        <w:t xml:space="preserve">四、法定代表人授权委托书（给定格式）：</w:t>
      </w:r>
      <w:r/>
    </w:p>
    <w:p>
      <w:pPr>
        <w:jc w:val="center"/>
        <w:spacing w:before="156" w:after="156"/>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spacing w:line="360" w:lineRule="auto"/>
        <w:tabs>
          <w:tab w:val="left" w:pos="255" w:leader="none"/>
        </w:tabs>
        <w:rPr>
          <w:rFonts w:hint="eastAsia" w:ascii="宋体" w:hAnsi="宋体"/>
          <w:color w:val="auto"/>
          <w:sz w:val="24"/>
          <w:szCs w:val="21"/>
          <w:highlight w:val="none"/>
          <w:lang w:val="zh-CN"/>
        </w:rPr>
      </w:pPr>
      <w:r>
        <w:rPr>
          <w:rFonts w:hint="eastAsia" w:ascii="宋体" w:hAnsi="宋体"/>
          <w:bCs/>
          <w:color w:val="auto"/>
          <w:sz w:val="24"/>
          <w:szCs w:val="24"/>
          <w:highlight w:val="none"/>
          <w:lang w:eastAsia="zh-CN"/>
        </w:rPr>
        <w:t xml:space="preserve">宜兴市杨巷镇人民政府</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国正工程咨询（江苏）有限责任公司：</w:t>
      </w:r>
      <w:r/>
    </w:p>
    <w:p>
      <w:pPr>
        <w:ind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w:t>
      </w:r>
      <w:r>
        <w:rPr>
          <w:rFonts w:hint="eastAsia" w:ascii="宋体" w:hAnsi="宋体"/>
          <w:color w:val="auto"/>
          <w:sz w:val="24"/>
          <w:szCs w:val="21"/>
          <w:highlight w:val="none"/>
          <w:lang w:eastAsia="zh-CN"/>
        </w:rPr>
        <w:t xml:space="preserve">JSZC-320282-JSXY-C2025-0009</w:t>
      </w:r>
      <w:r>
        <w:rPr>
          <w:rFonts w:hint="eastAsia" w:ascii="宋体" w:hAnsi="宋体"/>
          <w:color w:val="auto"/>
          <w:sz w:val="24"/>
          <w:szCs w:val="21"/>
          <w:highlight w:val="none"/>
          <w:lang w:val="zh-CN"/>
        </w:rPr>
        <w:t xml:space="preserve">）的响应报价，以我方名义签署、确认、澄清、提交、撤回、修改相关文件和处理有关事宜，其法律后果由我方承担。</w:t>
      </w:r>
      <w:r/>
    </w:p>
    <w:p>
      <w:pPr>
        <w:ind w:firstLine="480"/>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firstLine="480"/>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firstLine="480"/>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委托期限：自本授权委托书签署之日起至响应有效期届满之日止。</w:t>
      </w:r>
      <w:r/>
    </w:p>
    <w:p>
      <w:pPr>
        <w:ind w:firstLine="480"/>
        <w:keepLines w:val="0"/>
        <w:keepNext w:val="0"/>
        <w:pageBreakBefore w:val="0"/>
        <w:spacing w:line="360" w:lineRule="auto"/>
        <w:widowControl w:val="off"/>
        <w:tabs>
          <w:tab w:val="left" w:pos="255" w:leader="none"/>
        </w:tabs>
        <w:rPr>
          <w:rFonts w:hint="eastAsia" w:ascii="宋体" w:hAnsi="宋体" w:eastAsia="宋体"/>
          <w:color w:val="auto"/>
          <w:sz w:val="24"/>
          <w:szCs w:val="21"/>
          <w:highlight w:val="none"/>
          <w:lang w:val="zh-CN" w:eastAsia="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firstLine="480"/>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firstLine="480"/>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firstLine="480"/>
        <w:keepLines w:val="0"/>
        <w:keepNext w:val="0"/>
        <w:pageBreakBefore w:val="0"/>
        <w:spacing w:line="360" w:lineRule="auto"/>
        <w:widowControl w:val="off"/>
        <w:tabs>
          <w:tab w:val="left" w:pos="255" w:leader="none"/>
        </w:tabs>
        <w:rPr>
          <w:rFonts w:hint="eastAsia" w:ascii="宋体" w:hAnsi="宋体"/>
          <w:bCs/>
          <w:color w:val="auto"/>
          <w:sz w:val="24"/>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              </w:t>
      </w:r>
      <w:r/>
    </w:p>
    <w:p>
      <w:pPr>
        <w:pStyle w:val="960"/>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left="0" w:firstLine="6240"/>
        <w:jc w:val="both"/>
        <w:keepLines w:val="0"/>
        <w:keepNext w:val="0"/>
        <w:pageBreakBefore w:val="0"/>
        <w:spacing w:line="360" w:lineRule="auto"/>
        <w:widowControl w:val="off"/>
        <w:rPr>
          <w:rFonts w:hint="eastAsia" w:ascii="宋体" w:hAnsi="宋体"/>
          <w:bCs/>
          <w:color w:val="auto"/>
          <w:sz w:val="24"/>
          <w:highlight w:val="none"/>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auto"/>
          <w:sz w:val="24"/>
          <w:highlight w:val="none"/>
          <w:lang w:val="zh-CN"/>
        </w:rPr>
        <w:t xml:space="preserve">供应商（电子签章）：</w:t>
      </w:r>
      <w:r/>
    </w:p>
    <w:p>
      <w:pPr>
        <w:keepLines w:val="0"/>
        <w:keepNext w:val="0"/>
        <w:pageBreakBefore w:val="0"/>
        <w:spacing w:line="360" w:lineRule="auto"/>
        <w:widowControl w:val="off"/>
        <w:rPr>
          <w:rFonts w:hint="eastAsia" w:ascii="Arial" w:hAnsi="Arial" w:eastAsia="宋体" w:cs="Times New Roman"/>
          <w:b/>
          <w:color w:val="auto"/>
          <w:sz w:val="28"/>
          <w:szCs w:val="28"/>
          <w:lang w:val="en-US" w:eastAsia="zh-CN" w:bidi="ar-SA"/>
        </w:rPr>
      </w:pPr>
      <w:r>
        <w:rPr>
          <w:rFonts w:hint="eastAsia" w:ascii="Arial" w:hAnsi="Arial" w:eastAsia="宋体" w:cs="Times New Roman"/>
          <w:b/>
          <w:color w:val="auto"/>
          <w:sz w:val="28"/>
          <w:szCs w:val="28"/>
          <w:lang w:val="en-US" w:eastAsia="zh-CN" w:bidi="ar-SA"/>
        </w:rPr>
        <w:t xml:space="preserve">五、中小企业声明函（给定格式）：</w:t>
      </w:r>
      <w:r/>
    </w:p>
    <w:p>
      <w:pPr>
        <w:ind w:firstLine="241"/>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1、中小企业声明函（服务）</w:t>
      </w:r>
      <w:r/>
    </w:p>
    <w:p>
      <w:pPr>
        <w:jc w:val="center"/>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本公司（联合体）郑重声明，根据《政府采购促进中小企业发展管理办法》（财库﹝2020﹞46 号）的规定，本公司（联合体）参加</w:t>
      </w:r>
      <w:r>
        <w:rPr>
          <w:rFonts w:hint="eastAsia" w:ascii="宋体" w:hAnsi="宋体" w:cs="宋体"/>
          <w:bCs/>
          <w:color w:val="auto"/>
          <w:sz w:val="24"/>
          <w:szCs w:val="24"/>
          <w:highlight w:val="none"/>
          <w:u w:val="single"/>
          <w:lang w:val="zh-CN" w:eastAsia="zh-CN" w:bidi="ar-SA"/>
        </w:rPr>
        <w:t xml:space="preserve">杨巷镇生活污水“全收集全处理”提质提标工作前期服务项目</w:t>
      </w:r>
      <w:r>
        <w:rPr>
          <w:rFonts w:hint="eastAsia" w:ascii="宋体" w:hAnsi="宋体" w:eastAsia="宋体" w:cs="宋体"/>
          <w:bCs/>
          <w:color w:val="auto"/>
          <w:sz w:val="24"/>
          <w:szCs w:val="24"/>
          <w:highlight w:val="none"/>
          <w:lang w:val="zh-CN" w:eastAsia="zh-CN" w:bidi="ar-SA"/>
        </w:rPr>
        <w:t xml:space="preserve">采购活动，服务全部由符合政策要求的中小企业承接。相关企业（含联合体中的中小企业、签订分包意向协议的中小企业）的具体情况如下：</w:t>
      </w:r>
      <w:r/>
    </w:p>
    <w:tbl>
      <w:tblPr>
        <w:tblStyle w:val="952"/>
        <w:tblW w:w="9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568"/>
        <w:gridCol w:w="1036"/>
        <w:gridCol w:w="1691"/>
        <w:gridCol w:w="914"/>
        <w:gridCol w:w="1105"/>
        <w:gridCol w:w="1121"/>
        <w:gridCol w:w="1383"/>
      </w:tblGrid>
      <w:tr>
        <w:trPr>
          <w:jc w:val="center"/>
          <w:trHeight w:val="1112"/>
        </w:trPr>
        <w:tc>
          <w:tcPr>
            <w:tcW w:w="801"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W w:w="1568"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标的名称</w:t>
            </w:r>
            <w:r/>
          </w:p>
        </w:tc>
        <w:tc>
          <w:tcPr>
            <w:tcW w:w="1036"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所属</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行业</w:t>
            </w:r>
            <w:r/>
          </w:p>
        </w:tc>
        <w:tc>
          <w:tcPr>
            <w:tcW w:w="1691"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承接商</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（企业名称）</w:t>
            </w:r>
            <w:r/>
          </w:p>
        </w:tc>
        <w:tc>
          <w:tcPr>
            <w:tcW w:w="914"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从业</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人员（人）</w:t>
            </w:r>
            <w:r/>
          </w:p>
        </w:tc>
        <w:tc>
          <w:tcPr>
            <w:tcW w:w="1105"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营业</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收入</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（万元）</w:t>
            </w:r>
            <w:r/>
          </w:p>
        </w:tc>
        <w:tc>
          <w:tcPr>
            <w:tcW w:w="1121"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资产</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总额</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（万元）</w:t>
            </w:r>
            <w:r/>
          </w:p>
        </w:tc>
        <w:tc>
          <w:tcPr>
            <w:tcW w:w="1383"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企业类型（中型企业、小型企业、微型企业）</w:t>
            </w:r>
            <w:r/>
          </w:p>
        </w:tc>
      </w:tr>
      <w:tr>
        <w:trPr>
          <w:jc w:val="center"/>
          <w:trHeight w:val="915"/>
        </w:trPr>
        <w:tc>
          <w:tcPr>
            <w:tcW w:w="80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56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lang w:eastAsia="zh-CN"/>
              </w:rPr>
            </w:pPr>
            <w:r>
              <w:rPr>
                <w:rFonts w:hint="eastAsia" w:ascii="宋体" w:hAnsi="宋体" w:cs="宋体"/>
                <w:color w:val="auto"/>
                <w:sz w:val="24"/>
                <w:szCs w:val="24"/>
                <w:lang w:eastAsia="zh-CN"/>
              </w:rPr>
              <w:t xml:space="preserve">杨巷镇生活污水“全收集全处理”提质提标工作前期服务项目</w:t>
            </w:r>
            <w:r/>
          </w:p>
        </w:tc>
        <w:tc>
          <w:tcPr>
            <w:tcW w:w="103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其他未列明行业</w:t>
            </w:r>
            <w:r/>
          </w:p>
        </w:tc>
        <w:tc>
          <w:tcPr>
            <w:tcW w:w="169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9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10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12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138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本企业对上述声明内容的真实性负责。如有虚假，将依法承担相应责任。</w:t>
      </w:r>
      <w:r/>
    </w:p>
    <w:p>
      <w:pPr>
        <w:ind w:left="0" w:firstLine="6240"/>
        <w:jc w:val="both"/>
        <w:keepLines w:val="0"/>
        <w:keepNext w:val="0"/>
        <w:pageBreakBefore w:val="0"/>
        <w:spacing w:line="400" w:lineRule="exact"/>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0" w:firstLine="6240"/>
        <w:jc w:val="both"/>
        <w:keepLines w:val="0"/>
        <w:keepNext w:val="0"/>
        <w:pageBreakBefore w:val="0"/>
        <w:spacing w:line="400" w:lineRule="exact"/>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供应商（电子签章）：</w:t>
      </w:r>
      <w:r/>
    </w:p>
    <w:p>
      <w:pPr>
        <w:keepLines w:val="0"/>
        <w:keepNext w:val="0"/>
        <w:pageBreakBefore w:val="0"/>
        <w:spacing w:line="400" w:lineRule="exact"/>
        <w:widowControl w:val="off"/>
        <w:rPr>
          <w:rFonts w:hint="eastAsia" w:ascii="宋体" w:hAnsi="宋体" w:eastAsia="宋体" w:cs="宋体"/>
          <w:bCs/>
          <w:color w:val="auto"/>
          <w:sz w:val="20"/>
          <w:szCs w:val="20"/>
          <w:highlight w:val="none"/>
          <w:lang w:val="zh-CN" w:eastAsia="zh-CN" w:bidi="ar-SA"/>
        </w:rPr>
      </w:pPr>
      <w:r>
        <w:rPr>
          <w:rFonts w:hint="eastAsia" w:ascii="宋体" w:hAnsi="宋体" w:eastAsia="宋体" w:cs="宋体"/>
          <w:bCs/>
          <w:color w:val="auto"/>
          <w:sz w:val="20"/>
          <w:szCs w:val="20"/>
          <w:highlight w:val="none"/>
          <w:lang w:val="zh-CN" w:eastAsia="zh-CN" w:bidi="ar-SA"/>
        </w:rPr>
      </w:r>
      <w:r/>
    </w:p>
    <w:p>
      <w:pPr>
        <w:keepLines w:val="0"/>
        <w:keepNext w:val="0"/>
        <w:pageBreakBefore w:val="0"/>
        <w:spacing w:line="360" w:lineRule="auto"/>
        <w:widowControl w:val="off"/>
        <w:rPr>
          <w:rFonts w:hint="eastAsia" w:ascii="宋体" w:hAnsi="宋体" w:eastAsia="宋体" w:cs="宋体"/>
          <w:bCs/>
          <w:color w:val="auto"/>
          <w:sz w:val="22"/>
          <w:szCs w:val="22"/>
          <w:highlight w:val="none"/>
          <w:lang w:val="zh-CN" w:eastAsia="zh-CN" w:bidi="ar-SA"/>
        </w:rPr>
      </w:pPr>
      <w:r>
        <w:rPr>
          <w:rFonts w:hint="eastAsia" w:ascii="宋体" w:hAnsi="宋体" w:eastAsia="宋体" w:cs="宋体"/>
          <w:bCs/>
          <w:color w:val="auto"/>
          <w:sz w:val="22"/>
          <w:szCs w:val="22"/>
          <w:highlight w:val="none"/>
          <w:lang w:val="zh-CN" w:eastAsia="zh-CN" w:bidi="ar-SA"/>
        </w:rPr>
        <w:t xml:space="preserve">注：</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lang w:val="zh-CN" w:eastAsia="zh-CN" w:bidi="ar-SA"/>
        </w:rPr>
      </w:pPr>
      <w:r>
        <w:rPr>
          <w:rFonts w:hint="eastAsia" w:ascii="宋体" w:hAnsi="宋体" w:eastAsia="宋体" w:cs="宋体"/>
          <w:bCs/>
          <w:color w:val="auto"/>
          <w:sz w:val="22"/>
          <w:szCs w:val="22"/>
          <w:highlight w:val="none"/>
          <w:lang w:val="zh-CN" w:eastAsia="zh-CN" w:bidi="ar-SA"/>
        </w:rPr>
        <w:t xml:space="preserve">（1）本项目所属行业为</w:t>
      </w:r>
      <w:r>
        <w:rPr>
          <w:rFonts w:hint="eastAsia" w:ascii="宋体" w:hAnsi="宋体" w:eastAsia="宋体" w:cs="宋体"/>
          <w:b/>
          <w:bCs w:val="0"/>
          <w:color w:val="auto"/>
          <w:sz w:val="22"/>
          <w:szCs w:val="22"/>
          <w:highlight w:val="none"/>
          <w:lang w:val="zh-CN" w:eastAsia="zh-CN" w:bidi="ar-SA"/>
        </w:rPr>
        <w:t xml:space="preserve">其他未列明行业</w:t>
      </w:r>
      <w:r>
        <w:rPr>
          <w:rFonts w:hint="eastAsia" w:ascii="宋体" w:hAnsi="宋体" w:eastAsia="宋体" w:cs="宋体"/>
          <w:bCs/>
          <w:color w:val="auto"/>
          <w:sz w:val="22"/>
          <w:szCs w:val="22"/>
          <w:highlight w:val="none"/>
          <w:lang w:val="zh-CN" w:eastAsia="zh-CN" w:bidi="ar-SA"/>
        </w:rPr>
        <w:t xml:space="preserve">，供应商应根据实际情况完整准确填写上表相关内容，其中“</w:t>
      </w:r>
      <w:r>
        <w:rPr>
          <w:rFonts w:hint="eastAsia" w:ascii="宋体" w:hAnsi="宋体" w:eastAsia="宋体" w:cs="宋体"/>
          <w:b/>
          <w:bCs w:val="0"/>
          <w:color w:val="auto"/>
          <w:sz w:val="22"/>
          <w:szCs w:val="22"/>
          <w:highlight w:val="none"/>
          <w:lang w:val="zh-CN" w:eastAsia="zh-CN" w:bidi="ar-SA"/>
        </w:rPr>
        <w:t xml:space="preserve">企业类型</w:t>
      </w:r>
      <w:r>
        <w:rPr>
          <w:rFonts w:hint="eastAsia" w:ascii="宋体" w:hAnsi="宋体" w:eastAsia="宋体" w:cs="宋体"/>
          <w:bCs/>
          <w:color w:val="auto"/>
          <w:sz w:val="22"/>
          <w:szCs w:val="22"/>
          <w:highlight w:val="none"/>
          <w:lang w:val="zh-CN" w:eastAsia="zh-CN" w:bidi="ar-SA"/>
        </w:rPr>
        <w:t xml:space="preserve">”一栏，根据自身实际情况，从中型企业、 小型企业、微型企业中选择其一进行填报，具体要求详见“第二章 供应商须知”中“3.6 政府采购支持中小企业发展”。</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lang w:val="zh-CN" w:eastAsia="zh-CN" w:bidi="ar-SA"/>
        </w:rPr>
      </w:pPr>
      <w:r>
        <w:rPr>
          <w:rFonts w:hint="eastAsia" w:ascii="宋体" w:hAnsi="宋体" w:eastAsia="宋体" w:cs="宋体"/>
          <w:bCs/>
          <w:color w:val="auto"/>
          <w:sz w:val="22"/>
          <w:szCs w:val="22"/>
          <w:highlight w:val="none"/>
          <w:lang w:val="zh-CN" w:eastAsia="zh-CN" w:bidi="ar-SA"/>
        </w:rPr>
        <w:t xml:space="preserve">（2）从业人员、营业收入、资产总额填报上一年度数据，无上一年度数据的新成立企业可不填报。</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lang w:val="zh-CN"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2"/>
          <w:szCs w:val="22"/>
          <w:highlight w:val="none"/>
          <w:lang w:val="zh-CN" w:eastAsia="zh-CN" w:bidi="ar-SA"/>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ind w:firstLine="241"/>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2、残疾人福利性单位声明函（格式）：</w:t>
      </w:r>
      <w:r/>
    </w:p>
    <w:p>
      <w:pPr>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
          <w:bCs/>
          <w:color w:val="auto"/>
          <w:sz w:val="28"/>
          <w:szCs w:val="28"/>
          <w:highlight w:val="none"/>
        </w:rPr>
      </w:pPr>
      <w:r/>
      <w:bookmarkStart w:id="202" w:name="OLE_LINK64"/>
      <w:r/>
      <w:bookmarkStart w:id="203" w:name="OLE_LINK33"/>
      <w:r>
        <w:rPr>
          <w:rFonts w:hint="eastAsia" w:ascii="宋体" w:hAnsi="宋体" w:eastAsia="宋体" w:cs="宋体"/>
          <w:b/>
          <w:bCs/>
          <w:color w:val="auto"/>
          <w:sz w:val="28"/>
          <w:szCs w:val="28"/>
          <w:highlight w:val="none"/>
        </w:rPr>
        <w:t xml:space="preserve">残疾人福利性单位</w:t>
      </w:r>
      <w:bookmarkEnd w:id="202"/>
      <w:r>
        <w:rPr>
          <w:rFonts w:hint="eastAsia" w:ascii="宋体" w:hAnsi="宋体" w:eastAsia="宋体" w:cs="宋体"/>
          <w:b/>
          <w:bCs/>
          <w:color w:val="auto"/>
          <w:sz w:val="28"/>
          <w:szCs w:val="28"/>
          <w:highlight w:val="none"/>
        </w:rPr>
        <w:t xml:space="preserve">声明函</w:t>
      </w:r>
      <w:bookmarkEnd w:id="203"/>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w:t>
      </w:r>
      <w:r>
        <w:rPr>
          <w:rFonts w:hint="eastAsia" w:ascii="宋体" w:hAnsi="宋体"/>
          <w:bCs/>
          <w:color w:val="auto"/>
          <w:sz w:val="24"/>
          <w:szCs w:val="24"/>
        </w:rPr>
        <w:t xml:space="preserve">采购活动</w:t>
      </w:r>
      <w:r>
        <w:rPr>
          <w:rFonts w:ascii="宋体" w:hAnsi="宋体"/>
          <w:bCs/>
          <w:color w:val="auto"/>
          <w:sz w:val="24"/>
          <w:szCs w:val="24"/>
        </w:rPr>
        <w:t xml:space="preserve">由本单位提供服务</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rPr>
        <w:t xml:space="preserve">本单位对上述声明的真实性负责。如有虚假，将依法承担相应责任</w:t>
      </w:r>
      <w:r>
        <w:rPr>
          <w:rFonts w:hint="eastAsia" w:ascii="宋体" w:hAnsi="宋体"/>
          <w:bCs/>
          <w:color w:val="auto"/>
          <w:sz w:val="24"/>
          <w:szCs w:val="24"/>
          <w:highlight w:val="none"/>
        </w:rPr>
        <w:t xml:space="preserve">。</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60"/>
        <w:ind w:left="0" w:firstLine="0"/>
        <w:rPr>
          <w:rFonts w:hint="eastAsia"/>
          <w:color w:val="auto"/>
          <w:lang w:val="zh-CN"/>
        </w:rPr>
      </w:pPr>
      <w:r>
        <w:rPr>
          <w:rFonts w:hint="eastAsia" w:ascii="宋体" w:hAnsi="宋体"/>
          <w:bCs/>
          <w:color w:val="auto"/>
          <w:sz w:val="24"/>
          <w:highlight w:val="none"/>
        </w:rPr>
        <w:t xml:space="preserve">                            </w:t>
      </w:r>
      <w:r/>
    </w:p>
    <w:p>
      <w:pPr>
        <w:ind w:left="0" w:firstLine="5280"/>
        <w:jc w:val="center"/>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pStyle w:val="956"/>
        <w:rPr>
          <w:rFonts w:hint="eastAsia" w:ascii="宋体" w:hAnsi="宋体"/>
          <w:bCs/>
          <w:color w:val="auto"/>
          <w:sz w:val="24"/>
          <w:highlight w:val="none"/>
          <w:lang w:val="zh-CN"/>
        </w:rPr>
      </w:pPr>
      <w:r>
        <w:rPr>
          <w:rFonts w:hint="eastAsia" w:ascii="宋体" w:hAnsi="宋体"/>
          <w:bCs/>
          <w:color w:val="auto"/>
          <w:sz w:val="24"/>
          <w:highlight w:val="none"/>
          <w:lang w:val="zh-CN"/>
        </w:rPr>
      </w:r>
      <w:r/>
    </w:p>
    <w:p>
      <w:pPr>
        <w:keepLines w:val="0"/>
        <w:keepNext w:val="0"/>
        <w:pageBreakBefore w:val="0"/>
        <w:spacing w:line="360" w:lineRule="auto"/>
        <w:widowControl w:val="off"/>
        <w:rPr>
          <w:rFonts w:hint="eastAsia" w:ascii="宋体" w:hAnsi="宋体" w:eastAsia="宋体" w:cs="宋体"/>
          <w:bCs/>
          <w:color w:val="auto"/>
          <w:sz w:val="22"/>
          <w:szCs w:val="22"/>
          <w:highlight w:val="none"/>
          <w:lang w:val="zh-CN" w:eastAsia="zh-CN" w:bidi="ar-SA"/>
        </w:rPr>
      </w:pPr>
      <w:r>
        <w:rPr>
          <w:rFonts w:hint="eastAsia" w:ascii="宋体" w:hAnsi="宋体" w:eastAsia="宋体" w:cs="宋体"/>
          <w:bCs/>
          <w:color w:val="auto"/>
          <w:sz w:val="22"/>
          <w:szCs w:val="22"/>
          <w:highlight w:val="none"/>
          <w:lang w:val="zh-CN" w:eastAsia="zh-CN" w:bidi="ar-SA"/>
        </w:rPr>
      </w:r>
      <w:r/>
    </w:p>
    <w:p>
      <w:pPr>
        <w:keepLines w:val="0"/>
        <w:keepNext w:val="0"/>
        <w:pageBreakBefore w:val="0"/>
        <w:spacing w:line="360" w:lineRule="auto"/>
        <w:widowControl w:val="off"/>
        <w:rPr>
          <w:rFonts w:hint="eastAsia" w:ascii="宋体" w:hAnsi="宋体" w:eastAsia="宋体" w:cs="宋体"/>
          <w:bCs/>
          <w:color w:val="auto"/>
          <w:sz w:val="22"/>
          <w:szCs w:val="22"/>
          <w:highlight w:val="none"/>
          <w:lang w:val="zh-CN" w:eastAsia="zh-CN" w:bidi="ar-SA"/>
        </w:rPr>
      </w:pPr>
      <w:r>
        <w:rPr>
          <w:rFonts w:hint="eastAsia" w:ascii="宋体" w:hAnsi="宋体" w:eastAsia="宋体" w:cs="宋体"/>
          <w:bCs/>
          <w:color w:val="auto"/>
          <w:sz w:val="22"/>
          <w:szCs w:val="22"/>
          <w:highlight w:val="none"/>
          <w:lang w:val="zh-CN" w:eastAsia="zh-CN" w:bidi="ar-SA"/>
        </w:rPr>
        <w:t xml:space="preserve">注：</w:t>
      </w:r>
      <w:r/>
    </w:p>
    <w:p>
      <w:pPr>
        <w:ind w:firstLine="440"/>
        <w:keepLines w:val="0"/>
        <w:keepNext w:val="0"/>
        <w:pageBreakBefore w:val="0"/>
        <w:spacing w:line="360" w:lineRule="auto"/>
        <w:widowControl w:val="off"/>
        <w:rPr>
          <w:rFonts w:hint="eastAsia" w:ascii="宋体" w:hAnsi="宋体" w:eastAsia="宋体" w:cs="宋体"/>
          <w:bCs/>
          <w:color w:val="auto"/>
          <w:sz w:val="22"/>
          <w:szCs w:val="22"/>
          <w:highlight w:val="none"/>
          <w:lang w:val="zh-CN"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2"/>
          <w:szCs w:val="22"/>
          <w:highlight w:val="none"/>
          <w:lang w:val="zh-CN" w:eastAsia="zh-CN" w:bidi="ar-SA"/>
        </w:rPr>
        <w:t xml:space="preserve">成交供应商的《残疾人福利性单位声明函》将随成交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Arial" w:hAnsi="Arial" w:eastAsia="宋体" w:cs="Times New Roman"/>
          <w:b/>
          <w:color w:val="auto"/>
          <w:sz w:val="28"/>
          <w:szCs w:val="28"/>
          <w:lang w:val="en-US" w:eastAsia="zh-CN" w:bidi="ar-SA"/>
        </w:rPr>
      </w:pPr>
      <w:r>
        <w:rPr>
          <w:rFonts w:hint="eastAsia" w:ascii="Arial" w:hAnsi="Arial" w:eastAsia="宋体" w:cs="Times New Roman"/>
          <w:b/>
          <w:color w:val="auto"/>
          <w:sz w:val="28"/>
          <w:szCs w:val="28"/>
          <w:lang w:val="en-US" w:eastAsia="zh-CN" w:bidi="ar-SA"/>
        </w:rPr>
        <w:t xml:space="preserve">六、联合体协议书（给定格式）：</w:t>
      </w:r>
      <w:r/>
    </w:p>
    <w:p>
      <w:pPr>
        <w:jc w:val="center"/>
        <w:spacing w:before="156" w:after="156"/>
        <w:rPr>
          <w:rFonts w:hint="eastAsia" w:ascii="黑体" w:eastAsia="黑体"/>
          <w:bCs/>
          <w:color w:val="auto"/>
          <w:sz w:val="28"/>
          <w:szCs w:val="28"/>
          <w:highlight w:val="none"/>
          <w:lang w:val="zh-CN"/>
        </w:rPr>
      </w:pPr>
      <w:r>
        <w:rPr>
          <w:rFonts w:hint="eastAsia" w:ascii="宋体" w:hAnsi="宋体" w:eastAsia="宋体" w:cs="宋体"/>
          <w:b/>
          <w:bCs/>
          <w:color w:val="auto"/>
          <w:sz w:val="28"/>
          <w:szCs w:val="28"/>
        </w:rPr>
        <w:t xml:space="preserve">联合体协议书</w:t>
      </w:r>
      <w:r/>
    </w:p>
    <w:p>
      <w:pPr>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bookmarkStart w:id="204"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JSZC-320282-JSXY-C2025-0009</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的报价。现就联合体报价事宜订立如下协议。</w:t>
      </w:r>
      <w:r/>
    </w:p>
    <w:p>
      <w:pPr>
        <w:ind w:left="420" w:firstLine="480"/>
        <w:jc w:val="left"/>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   （联合体主体单位名称）   </w:t>
      </w:r>
      <w:r>
        <w:rPr>
          <w:rFonts w:hint="eastAsia" w:ascii="宋体" w:hAnsi="宋体"/>
          <w:color w:val="auto"/>
          <w:sz w:val="24"/>
          <w:szCs w:val="21"/>
          <w:highlight w:val="none"/>
          <w:lang w:val="zh-CN"/>
        </w:rPr>
        <w:t xml:space="preserve">为本次报价的主体单位，联合体以主体单位的名义参加报价。</w:t>
      </w:r>
      <w:bookmarkEnd w:id="204"/>
      <w:r/>
      <w:r/>
    </w:p>
    <w:p>
      <w:pPr>
        <w:ind w:left="420" w:firstLine="480"/>
        <w:jc w:val="left"/>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bookmarkStart w:id="205" w:name="_Hlk144982230"/>
      <w:r>
        <w:rPr>
          <w:rFonts w:hint="eastAsia" w:ascii="宋体" w:hAnsi="宋体"/>
          <w:color w:val="auto"/>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r/>
    </w:p>
    <w:p>
      <w:pPr>
        <w:ind w:left="420" w:firstLine="480"/>
        <w:jc w:val="left"/>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3、联合体将严格按照采购文件的各项要求，提交响应文件，履行合同，并对外承担连带责任。</w:t>
      </w:r>
      <w:r/>
    </w:p>
    <w:p>
      <w:pPr>
        <w:ind w:left="420" w:firstLine="480"/>
        <w:jc w:val="left"/>
        <w:keepLines w:val="0"/>
        <w:keepNext w:val="0"/>
        <w:pageBreakBefore w:val="0"/>
        <w:spacing w:line="360" w:lineRule="auto"/>
        <w:widowControl w:val="off"/>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keepLines w:val="0"/>
        <w:keepNext w:val="0"/>
        <w:pageBreakBefore w:val="0"/>
        <w:spacing w:line="360" w:lineRule="auto"/>
        <w:widowControl w:val="off"/>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0"/>
        </w:numPr>
        <w:ind w:left="420" w:firstLine="480"/>
        <w:jc w:val="left"/>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jc w:val="left"/>
        <w:keepLines w:val="0"/>
        <w:keepNext w:val="0"/>
        <w:pageBreakBefore w:val="0"/>
        <w:spacing w:line="360" w:lineRule="auto"/>
        <w:widowControl w:val="off"/>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、本协议书自签署之日起生效，至本次竞争性磋商有关事务结束且合同履行完毕后自动失效。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205"/>
      <w:r/>
      <w:r/>
    </w:p>
    <w:p>
      <w:pPr>
        <w:ind w:right="240"/>
        <w:jc w:val="right"/>
        <w:spacing w:line="48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firstLine="4800"/>
        <w:jc w:val="both"/>
        <w:keepLines w:val="0"/>
        <w:keepNext w:val="0"/>
        <w:pageBreakBefore w:val="0"/>
        <w:spacing w:line="480" w:lineRule="auto"/>
        <w:widowControl w:val="off"/>
        <w:rPr>
          <w:rFonts w:hint="eastAsia"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240" w:firstLine="4800"/>
        <w:jc w:val="both"/>
        <w:keepLines w:val="0"/>
        <w:keepNext w:val="0"/>
        <w:pageBreakBefore w:val="0"/>
        <w:spacing w:line="480" w:lineRule="auto"/>
        <w:widowControl w:val="off"/>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pStyle w:val="960"/>
        <w:ind w:left="0" w:firstLine="440"/>
        <w:rPr>
          <w:rFonts w:hint="eastAsia" w:ascii="宋体" w:hAnsi="宋体"/>
          <w:bCs/>
          <w:color w:val="auto"/>
          <w:sz w:val="22"/>
          <w:szCs w:val="22"/>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auto"/>
          <w:sz w:val="22"/>
          <w:szCs w:val="22"/>
          <w:highlight w:val="none"/>
        </w:rPr>
        <w:t xml:space="preserve">注：如采购人接受联合体且供应商组成联合体的，应提供有效的联合体协议书，否则无需提供。</w:t>
      </w:r>
      <w:r/>
    </w:p>
    <w:p>
      <w:pPr>
        <w:keepLines w:val="0"/>
        <w:keepNext w:val="0"/>
        <w:pageBreakBefore w:val="0"/>
        <w:spacing w:line="360" w:lineRule="auto"/>
        <w:widowControl w:val="off"/>
        <w:rPr>
          <w:rFonts w:hint="eastAsia" w:ascii="Arial" w:hAnsi="Arial" w:eastAsia="宋体" w:cs="Times New Roman"/>
          <w:b/>
          <w:color w:val="auto"/>
          <w:sz w:val="28"/>
          <w:szCs w:val="28"/>
          <w:lang w:val="en-US" w:eastAsia="zh-CN" w:bidi="ar-SA"/>
        </w:rPr>
      </w:pPr>
      <w:r>
        <w:rPr>
          <w:rFonts w:hint="eastAsia" w:ascii="Arial" w:hAnsi="Arial" w:eastAsia="宋体" w:cs="Times New Roman"/>
          <w:b/>
          <w:color w:val="auto"/>
          <w:sz w:val="28"/>
          <w:szCs w:val="28"/>
          <w:lang w:val="en-US" w:eastAsia="zh-CN" w:bidi="ar-SA"/>
        </w:rPr>
        <w:t xml:space="preserve">七、分包情况说明（给定格式）</w:t>
      </w:r>
      <w:r/>
    </w:p>
    <w:p>
      <w:pPr>
        <w:jc w:val="center"/>
        <w:spacing w:before="156" w:after="156"/>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分包情况说明</w:t>
      </w:r>
      <w:r/>
    </w:p>
    <w:p>
      <w:pPr>
        <w:jc w:val="both"/>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both"/>
        <w:spacing w:line="480" w:lineRule="auto"/>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JSZC-320282-JSXY-C2025-0009</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磋商文件的规定和采购项目的实际情况，拟在成交后将成交项目的非主体、非关键性工作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pStyle w:val="960"/>
        <w:ind w:left="0" w:firstLine="0"/>
        <w:rPr>
          <w:rFonts w:hint="eastAsia"/>
          <w:color w:val="auto"/>
          <w:lang w:val="zh-CN"/>
        </w:rPr>
      </w:pPr>
      <w:r>
        <w:rPr>
          <w:rFonts w:hint="eastAsia"/>
          <w:color w:val="auto"/>
          <w:lang w:val="zh-CN"/>
        </w:rPr>
      </w:r>
      <w:r/>
    </w:p>
    <w:p>
      <w:pPr>
        <w:ind w:left="0" w:firstLine="5280"/>
        <w:jc w:val="center"/>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pStyle w:val="960"/>
        <w:rPr>
          <w:rFonts w:hint="eastAsia"/>
          <w:color w:val="auto"/>
          <w:lang w:val="zh-CN"/>
        </w:rPr>
      </w:pPr>
      <w:r>
        <w:rPr>
          <w:rFonts w:hint="eastAsia"/>
          <w:color w:val="auto"/>
          <w:lang w:val="zh-CN"/>
        </w:rPr>
      </w:r>
      <w:r/>
    </w:p>
    <w:p>
      <w:pPr>
        <w:pStyle w:val="960"/>
        <w:rPr>
          <w:rFonts w:hint="eastAsia"/>
          <w:color w:val="auto"/>
          <w:lang w:val="zh-CN"/>
        </w:rPr>
      </w:pPr>
      <w:r>
        <w:rPr>
          <w:rFonts w:hint="eastAsia"/>
          <w:color w:val="auto"/>
          <w:lang w:val="zh-CN"/>
        </w:rPr>
      </w:r>
      <w:r/>
    </w:p>
    <w:p>
      <w:pPr>
        <w:ind w:firstLine="480"/>
        <w:spacing w:line="360" w:lineRule="auto"/>
        <w:tabs>
          <w:tab w:val="left" w:pos="0" w:leader="none"/>
          <w:tab w:val="left" w:pos="255" w:leader="none"/>
        </w:tabs>
        <w:rPr>
          <w:rFonts w:hint="eastAsia" w:ascii="宋体" w:hAnsi="宋体"/>
          <w:bCs/>
          <w:color w:val="auto"/>
          <w:sz w:val="22"/>
          <w:szCs w:val="22"/>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Cs/>
          <w:color w:val="auto"/>
          <w:sz w:val="22"/>
          <w:szCs w:val="22"/>
          <w:highlight w:val="none"/>
        </w:rPr>
        <w:t xml:space="preserve">注：如采购人接受分包且供应商有分包意向的，应提供有效的分包情况说明，否则无需提供。</w:t>
      </w:r>
      <w:r/>
    </w:p>
    <w:p>
      <w:pPr>
        <w:keepLines w:val="0"/>
        <w:keepNext w:val="0"/>
        <w:pageBreakBefore w:val="0"/>
        <w:spacing w:line="360" w:lineRule="auto"/>
        <w:widowControl w:val="off"/>
        <w:rPr>
          <w:rFonts w:hint="eastAsia" w:ascii="Arial" w:hAnsi="Arial" w:eastAsia="宋体" w:cs="Times New Roman"/>
          <w:b/>
          <w:color w:val="auto"/>
          <w:sz w:val="28"/>
          <w:szCs w:val="28"/>
          <w:lang w:val="en-US" w:eastAsia="zh-CN" w:bidi="ar-SA"/>
        </w:rPr>
      </w:pPr>
      <w:r>
        <w:rPr>
          <w:rFonts w:hint="eastAsia" w:ascii="Arial" w:hAnsi="Arial" w:eastAsia="宋体" w:cs="Times New Roman"/>
          <w:b/>
          <w:color w:val="auto"/>
          <w:sz w:val="28"/>
          <w:szCs w:val="28"/>
          <w:lang w:val="en-US" w:eastAsia="zh-CN" w:bidi="ar-SA"/>
        </w:rPr>
        <w:t xml:space="preserve">八、明细报价表（给定格式）：</w:t>
      </w:r>
      <w:r/>
    </w:p>
    <w:p>
      <w:pPr>
        <w:jc w:val="center"/>
        <w:spacing w:before="156" w:after="156"/>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明细报价表</w:t>
      </w:r>
      <w:r/>
    </w:p>
    <w:p>
      <w:pPr>
        <w:jc w:val="left"/>
        <w:keepLines w:val="0"/>
        <w:keepNext w:val="0"/>
        <w:pageBreakBefore w:val="0"/>
        <w:spacing w:before="156" w:after="156"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杨巷镇生活污水“全收集全处理”提质提标工作前期服务项目</w:t>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rPr>
        <w:t xml:space="preserve">                         </w:t>
      </w:r>
      <w:r/>
    </w:p>
    <w:p>
      <w:pPr>
        <w:jc w:val="both"/>
        <w:keepLines w:val="0"/>
        <w:keepNext w:val="0"/>
        <w:pageBreakBefore w:val="0"/>
        <w:spacing w:line="360" w:lineRule="auto"/>
        <w:widowControl w:val="off"/>
        <w:rPr>
          <w:rFonts w:ascii="宋体" w:hAnsi="宋体"/>
          <w:color w:val="auto"/>
          <w:sz w:val="28"/>
          <w:szCs w:val="28"/>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JSZC-320282-JSXY-C2025-0009</w:t>
      </w:r>
      <w:r>
        <w:rPr>
          <w:rFonts w:hint="eastAsia" w:ascii="宋体" w:hAnsi="宋体"/>
          <w:color w:val="auto"/>
          <w:sz w:val="24"/>
          <w:szCs w:val="21"/>
          <w:highlight w:val="none"/>
          <w:lang w:val="zh-CN"/>
        </w:rPr>
        <w:t xml:space="preserve">  </w:t>
      </w:r>
      <w:r>
        <w:rPr>
          <w:rFonts w:hint="eastAsia" w:ascii="宋体" w:hAnsi="宋体"/>
          <w:color w:val="auto"/>
          <w:sz w:val="24"/>
          <w:szCs w:val="24"/>
        </w:rPr>
        <w:t xml:space="preserve">                         </w:t>
      </w:r>
      <w:r/>
    </w:p>
    <w:tbl>
      <w:tblPr>
        <w:tblStyle w:val="948"/>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27"/>
        <w:gridCol w:w="1823"/>
      </w:tblGrid>
      <w:tr>
        <w:trPr>
          <w:jc w:val="center"/>
          <w:trHeight w:val="771"/>
        </w:trPr>
        <w:tc>
          <w:tcPr>
            <w:tcW w:w="828" w:type="dxa"/>
            <w:vAlign w:val="center"/>
            <w:textDirection w:val="lrTb"/>
            <w:noWrap w:val="false"/>
          </w:tcPr>
          <w:p>
            <w:pPr>
              <w:jc w:val="center"/>
              <w:rPr>
                <w:rFonts w:hint="eastAsia" w:ascii="宋体" w:hAnsi="宋体"/>
                <w:b/>
                <w:color w:val="auto"/>
                <w:sz w:val="24"/>
                <w:highlight w:val="none"/>
                <w:lang w:val="zh-CN"/>
              </w:rPr>
            </w:pPr>
            <w:r/>
            <w:bookmarkStart w:id="206" w:name="_Toc14859"/>
            <w:r>
              <w:rPr>
                <w:rFonts w:hint="eastAsia" w:ascii="宋体" w:hAnsi="宋体"/>
                <w:b/>
                <w:color w:val="auto"/>
                <w:sz w:val="24"/>
                <w:highlight w:val="none"/>
                <w:lang w:val="zh-CN"/>
              </w:rPr>
              <w:t xml:space="preserve">序号</w:t>
            </w:r>
            <w:r/>
          </w:p>
        </w:tc>
        <w:tc>
          <w:tcPr>
            <w:tcW w:w="3060"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服务名称</w:t>
            </w:r>
            <w:r/>
          </w:p>
        </w:tc>
        <w:tc>
          <w:tcPr>
            <w:tcW w:w="1989"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数量</w:t>
            </w:r>
            <w:r/>
          </w:p>
        </w:tc>
        <w:tc>
          <w:tcPr>
            <w:tcW w:w="1927"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单价</w:t>
            </w:r>
            <w:r/>
          </w:p>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(元)</w:t>
            </w:r>
            <w:r/>
          </w:p>
        </w:tc>
        <w:tc>
          <w:tcPr>
            <w:tcW w:w="1823"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合计报价</w:t>
            </w:r>
            <w:r/>
          </w:p>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(元)</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2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23"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2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23"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2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23"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2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23"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rPr>
            </w:pPr>
            <w:r>
              <w:rPr>
                <w:rFonts w:ascii="宋体" w:hAnsi="宋体"/>
                <w:color w:val="auto"/>
                <w:szCs w:val="21"/>
              </w:rPr>
            </w:r>
            <w:r/>
          </w:p>
        </w:tc>
        <w:tc>
          <w:tcPr>
            <w:tcW w:w="3060"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89"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927" w:type="dxa"/>
            <w:vAlign w:val="center"/>
            <w:textDirection w:val="lrTb"/>
            <w:noWrap w:val="false"/>
          </w:tcPr>
          <w:p>
            <w:pPr>
              <w:jc w:val="center"/>
              <w:rPr>
                <w:rFonts w:ascii="宋体" w:hAnsi="宋体"/>
                <w:color w:val="auto"/>
                <w:szCs w:val="21"/>
              </w:rPr>
            </w:pPr>
            <w:r>
              <w:rPr>
                <w:rFonts w:ascii="宋体" w:hAnsi="宋体"/>
                <w:color w:val="auto"/>
                <w:szCs w:val="21"/>
              </w:rPr>
            </w:r>
            <w:r/>
          </w:p>
        </w:tc>
        <w:tc>
          <w:tcPr>
            <w:tcW w:w="1823" w:type="dxa"/>
            <w:vAlign w:val="center"/>
            <w:textDirection w:val="lrTb"/>
            <w:noWrap w:val="false"/>
          </w:tcPr>
          <w:p>
            <w:pPr>
              <w:jc w:val="center"/>
              <w:rPr>
                <w:rFonts w:ascii="宋体" w:hAnsi="宋体"/>
                <w:color w:val="auto"/>
                <w:szCs w:val="21"/>
              </w:rPr>
            </w:pPr>
            <w:r>
              <w:rPr>
                <w:rFonts w:ascii="宋体" w:hAnsi="宋体"/>
                <w:color w:val="auto"/>
                <w:szCs w:val="21"/>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rPr>
            </w:pPr>
            <w:r>
              <w:rPr>
                <w:rFonts w:hint="eastAsia" w:ascii="宋体" w:hAnsi="宋体"/>
                <w:b/>
                <w:color w:val="auto"/>
                <w:sz w:val="24"/>
                <w:highlight w:val="none"/>
                <w:lang w:val="zh-CN"/>
              </w:rPr>
              <w:t xml:space="preserve">合计总价(元)</w:t>
            </w:r>
            <w:r/>
          </w:p>
        </w:tc>
        <w:tc>
          <w:tcPr>
            <w:gridSpan w:val="3"/>
            <w:tcW w:w="5739"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ind w:left="5460" w:hanging="5460"/>
        <w:jc w:val="center"/>
        <w:spacing w:line="360" w:lineRule="auto"/>
        <w:rPr>
          <w:rFonts w:ascii="宋体" w:hAnsi="宋体"/>
          <w:bCs/>
          <w:color w:val="auto"/>
          <w:sz w:val="24"/>
        </w:rPr>
      </w:pPr>
      <w:r>
        <w:rPr>
          <w:rFonts w:hint="eastAsia" w:ascii="宋体" w:hAnsi="宋体"/>
          <w:bCs/>
          <w:color w:val="auto"/>
          <w:sz w:val="24"/>
        </w:rPr>
        <w:t xml:space="preserve">                               </w:t>
      </w:r>
      <w:r/>
    </w:p>
    <w:p>
      <w:pPr>
        <w:spacing w:line="360" w:lineRule="auto"/>
        <w:rPr>
          <w:rFonts w:ascii="宋体" w:hAnsi="宋体"/>
          <w:bCs/>
          <w:color w:val="auto"/>
          <w:sz w:val="24"/>
        </w:rPr>
      </w:pPr>
      <w:r>
        <w:rPr>
          <w:rFonts w:hint="eastAsia" w:ascii="宋体" w:hAnsi="宋体"/>
          <w:bCs/>
          <w:color w:val="auto"/>
          <w:sz w:val="24"/>
        </w:rPr>
        <w:t xml:space="preserve">                              </w:t>
      </w:r>
      <w:bookmarkEnd w:id="206"/>
      <w:r>
        <w:rPr>
          <w:rFonts w:hint="eastAsia" w:ascii="宋体" w:hAnsi="宋体"/>
          <w:bCs/>
          <w:color w:val="auto"/>
          <w:sz w:val="24"/>
        </w:rPr>
        <w:t xml:space="preserve">                      </w:t>
      </w:r>
      <w:r>
        <w:rPr>
          <w:rFonts w:hint="eastAsia" w:ascii="宋体" w:hAnsi="宋体"/>
          <w:bCs/>
          <w:color w:val="auto"/>
          <w:sz w:val="24"/>
          <w:highlight w:val="none"/>
          <w:lang w:val="zh-CN"/>
        </w:rPr>
        <w:t xml:space="preserve">供应商</w:t>
      </w:r>
      <w:r>
        <w:rPr>
          <w:rFonts w:hint="eastAsia" w:ascii="宋体" w:hAnsi="宋体"/>
          <w:bCs/>
          <w:color w:val="auto"/>
          <w:sz w:val="24"/>
        </w:rPr>
        <w:t xml:space="preserve">（电子签章）：</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ascii="宋体" w:hAnsi="宋体"/>
          <w:bCs/>
          <w:color w:val="auto"/>
          <w:sz w:val="24"/>
        </w:rPr>
      </w:r>
      <w:r/>
    </w:p>
    <w:p>
      <w:pPr>
        <w:ind w:firstLine="420"/>
        <w:spacing w:line="360" w:lineRule="auto"/>
        <w:rPr>
          <w:rFonts w:ascii="宋体" w:hAnsi="宋体"/>
          <w:bCs/>
          <w:color w:val="auto"/>
          <w:szCs w:val="21"/>
        </w:rPr>
      </w:pPr>
      <w:r>
        <w:rPr>
          <w:rFonts w:hint="eastAsia" w:ascii="宋体" w:hAnsi="宋体"/>
          <w:bCs/>
          <w:color w:val="auto"/>
          <w:szCs w:val="21"/>
        </w:rPr>
        <w:t xml:space="preserve">注：供应商应当根据“第三章 项目技术要求和有关说明”的内容详细填写明细报价表，须包括本次采购的所有细项及提供服务的一切费用，表格不够可自行延长</w:t>
      </w:r>
      <w:bookmarkStart w:id="207" w:name="_Hlk160008571"/>
      <w:r/>
      <w:bookmarkStart w:id="208" w:name="_Hlk160009870"/>
      <w:r>
        <w:rPr>
          <w:rFonts w:hint="eastAsia" w:ascii="宋体" w:hAnsi="宋体"/>
          <w:bCs/>
          <w:color w:val="auto"/>
          <w:szCs w:val="21"/>
        </w:rPr>
        <w:t xml:space="preserve">；</w:t>
      </w:r>
      <w:bookmarkEnd w:id="207"/>
      <w:r>
        <w:rPr>
          <w:rFonts w:hint="eastAsia" w:ascii="宋体" w:hAnsi="宋体"/>
          <w:bCs/>
          <w:color w:val="auto"/>
          <w:szCs w:val="21"/>
        </w:rPr>
        <w:t xml:space="preserve">如本表单价计算的结果与总价不一致，以单价为准修正总价。</w:t>
      </w:r>
      <w:bookmarkEnd w:id="208"/>
      <w:r/>
      <w:r/>
    </w:p>
    <w:p>
      <w:pPr>
        <w:pStyle w:val="949"/>
        <w:rPr>
          <w:rFonts w:hint="eastAsia"/>
          <w:color w:val="auto"/>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color w:val="auto"/>
        </w:rPr>
      </w:r>
      <w:r/>
    </w:p>
    <w:p>
      <w:pPr>
        <w:jc w:val="left"/>
        <w:spacing w:line="360" w:lineRule="auto"/>
        <w:rPr>
          <w:rFonts w:hint="eastAsia" w:ascii="Arial" w:hAnsi="Arial" w:eastAsia="宋体" w:cs="Times New Roman"/>
          <w:b/>
          <w:color w:val="auto"/>
          <w:sz w:val="28"/>
          <w:szCs w:val="28"/>
          <w:lang w:val="en-US" w:eastAsia="zh-CN" w:bidi="ar-SA"/>
        </w:rPr>
      </w:pPr>
      <w:r/>
      <w:bookmarkStart w:id="209" w:name="_Hlk131843680"/>
      <w:r/>
      <w:bookmarkStart w:id="210" w:name="_Hlk130922293"/>
      <w:r>
        <w:rPr>
          <w:rFonts w:hint="eastAsia" w:ascii="Arial" w:hAnsi="Arial" w:cs="Times New Roman"/>
          <w:b/>
          <w:color w:val="auto"/>
          <w:sz w:val="28"/>
          <w:szCs w:val="28"/>
          <w:lang w:val="en-US" w:eastAsia="zh-CN" w:bidi="ar-SA"/>
        </w:rPr>
        <w:t xml:space="preserve">九</w:t>
      </w:r>
      <w:r>
        <w:rPr>
          <w:rFonts w:hint="eastAsia" w:ascii="Arial" w:hAnsi="Arial" w:eastAsia="宋体" w:cs="Times New Roman"/>
          <w:b/>
          <w:color w:val="auto"/>
          <w:sz w:val="28"/>
          <w:szCs w:val="28"/>
          <w:lang w:val="en-US" w:eastAsia="zh-CN" w:bidi="ar-SA"/>
        </w:rPr>
        <w:t xml:space="preserve">、</w:t>
      </w:r>
      <w:bookmarkEnd w:id="209"/>
      <w:r/>
      <w:bookmarkEnd w:id="210"/>
      <w:r>
        <w:rPr>
          <w:rFonts w:hint="eastAsia" w:ascii="Arial" w:hAnsi="Arial" w:eastAsia="宋体" w:cs="Times New Roman"/>
          <w:b/>
          <w:color w:val="auto"/>
          <w:sz w:val="28"/>
          <w:szCs w:val="28"/>
          <w:lang w:val="en-US" w:eastAsia="zh-CN" w:bidi="ar-SA"/>
        </w:rPr>
        <w:t xml:space="preserve">响应函（给定格式）：</w:t>
      </w:r>
      <w:r/>
    </w:p>
    <w:p>
      <w:pPr>
        <w:jc w:val="center"/>
        <w:spacing w:before="156" w:after="156"/>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响应函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w:t>
      </w:r>
      <w:r>
        <w:rPr>
          <w:rFonts w:hint="eastAsia" w:ascii="宋体" w:hAnsi="宋体"/>
          <w:bCs/>
          <w:color w:val="auto"/>
          <w:sz w:val="24"/>
          <w:highlight w:val="none"/>
          <w:lang w:eastAsia="zh-CN"/>
        </w:rPr>
        <w:t xml:space="preserve">宜兴市杨巷镇人民政府</w:t>
      </w:r>
      <w:r>
        <w:rPr>
          <w:rFonts w:hint="eastAsia" w:ascii="宋体" w:hAnsi="宋体"/>
          <w:bCs/>
          <w:color w:val="auto"/>
          <w:sz w:val="24"/>
          <w:highlight w:val="none"/>
          <w:lang w:val="zh-CN"/>
        </w:rPr>
        <w:t xml:space="preserve">、国正工程咨询（江苏）有限责任公司：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w:t>
      </w:r>
      <w:r>
        <w:rPr>
          <w:rFonts w:hint="eastAsia" w:ascii="宋体" w:hAnsi="宋体"/>
          <w:bCs/>
          <w:color w:val="auto"/>
          <w:sz w:val="24"/>
          <w:lang w:val="zh-CN"/>
        </w:rPr>
        <w:t xml:space="preserve">本项目</w:t>
      </w:r>
      <w:r>
        <w:rPr>
          <w:rFonts w:hint="eastAsia" w:ascii="宋体" w:hAnsi="宋体"/>
          <w:bCs/>
          <w:color w:val="auto"/>
          <w:sz w:val="24"/>
          <w:szCs w:val="24"/>
        </w:rPr>
        <w:t xml:space="preserve">（项目编号：</w:t>
      </w:r>
      <w:r>
        <w:rPr>
          <w:rFonts w:hint="eastAsia" w:ascii="宋体" w:hAnsi="宋体"/>
          <w:bCs/>
          <w:color w:val="auto"/>
          <w:sz w:val="24"/>
          <w:highlight w:val="none"/>
          <w:lang w:eastAsia="zh-CN"/>
        </w:rPr>
        <w:t xml:space="preserve">JSZC-320282-JSXY-C2025-0009</w:t>
      </w:r>
      <w:r>
        <w:rPr>
          <w:rFonts w:hint="eastAsia" w:ascii="宋体" w:hAnsi="宋体"/>
          <w:bCs/>
          <w:color w:val="auto"/>
          <w:sz w:val="24"/>
          <w:szCs w:val="24"/>
        </w:rPr>
        <w:t xml:space="preserve">）</w:t>
      </w:r>
      <w:r>
        <w:rPr>
          <w:rFonts w:hint="eastAsia" w:ascii="宋体" w:hAnsi="宋体"/>
          <w:bCs/>
          <w:color w:val="auto"/>
          <w:sz w:val="24"/>
          <w:highlight w:val="none"/>
          <w:lang w:val="zh-CN"/>
        </w:rPr>
        <w:t xml:space="preserve">磋商文件，经仔细阅读和研究，我方决定参加报价。</w:t>
      </w:r>
      <w:r/>
    </w:p>
    <w:p>
      <w:pPr>
        <w:numPr>
          <w:ilvl w:val="0"/>
          <w:numId w:val="11"/>
        </w:numPr>
        <w:ind w:firstLine="480"/>
        <w:spacing w:line="360" w:lineRule="auto"/>
        <w:rPr>
          <w:rFonts w:hint="eastAsia" w:ascii="宋体" w:hAnsi="宋体"/>
          <w:bCs/>
          <w:color w:val="auto"/>
          <w:sz w:val="24"/>
          <w:highlight w:val="none"/>
          <w:lang w:val="zh-CN"/>
        </w:rPr>
      </w:pPr>
      <w:r/>
      <w:bookmarkStart w:id="211" w:name="OLE_LINK233"/>
      <w:r/>
      <w:bookmarkStart w:id="212" w:name="OLE_LINK115"/>
      <w:r>
        <w:rPr>
          <w:rFonts w:hint="eastAsia" w:ascii="宋体" w:hAnsi="宋体"/>
          <w:bCs/>
          <w:color w:val="auto"/>
          <w:sz w:val="24"/>
          <w:highlight w:val="none"/>
          <w:lang w:val="zh-CN"/>
        </w:rPr>
        <w:t xml:space="preserve">我方愿意按照磋商文件的一切要求，提供服务，总报价详见《磋商报价表》。</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我方已对照采购要求，填写了报价服务的偏离情况，详见《项目技术要求偏离表》。</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参与报价即表示认可并遵守本磋商文件的所有规定，不再对磋商文件及相关补充更正文件提出质疑和投诉。我方响应文件的有效期为响应文件提交截止之日起的60天（含提交截止当日），在特殊情况下，可与贵方协商延长响应文件的有效期。</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如果我方的响应文件被接受，我方将履行磋商文件、响应文件中规定的每一项要求，按期、按质、按量、按地点，完成服务任务。</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我方愿意根据贵方及磋商小组的要求，提供响应文件中所有材料的原件及相关证明性资料，并保证我方已提供和将要提供的资料是真实的、准确的。</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我方认为采购人有权确定成交供应商。除因不可抗力或磋商文件认可的情形以外，我方绝不放弃成交资格。</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我方愿意按《中华人民共和国民法典》和合同条款履行自己的全部责任。</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如果我方成交，我方愿意遵守磋商文件和成交通知书的规定，在指定时间和地点与采购人签订合同。</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我方不是为本项目提供整体设计、规范编制或者项目管理、监理、检测等服务的供应商。</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jc w:val="left"/>
              <w:rPr>
                <w:rFonts w:hint="eastAsia" w:ascii="宋体" w:hAnsi="宋体"/>
                <w:color w:val="auto"/>
                <w:sz w:val="24"/>
                <w:szCs w:val="24"/>
                <w:lang w:val="zh-CN"/>
              </w:rPr>
            </w:pPr>
            <w:r>
              <w:rPr>
                <w:rFonts w:hint="eastAsia" w:ascii="宋体" w:hAnsi="宋体"/>
                <w:color w:val="auto"/>
                <w:sz w:val="24"/>
                <w:szCs w:val="24"/>
                <w:lang w:val="zh-CN"/>
              </w:rPr>
              <w:t xml:space="preserve">与我方</w:t>
            </w:r>
            <w:r>
              <w:rPr>
                <w:rFonts w:hint="eastAsia" w:ascii="宋体" w:hAnsi="宋体"/>
                <w:color w:val="auto"/>
                <w:sz w:val="24"/>
                <w:szCs w:val="24"/>
              </w:rPr>
              <w:t xml:space="preserve">单位负责人为同一人的其他单位</w:t>
            </w:r>
            <w:r/>
          </w:p>
        </w:tc>
        <w:tc>
          <w:tcPr>
            <w:tcW w:w="4680"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r>
      <w:tr>
        <w:trPr>
          <w:jc w:val="center"/>
          <w:trHeight w:val="663"/>
        </w:trPr>
        <w:tc>
          <w:tcPr>
            <w:tcW w:w="4707" w:type="dxa"/>
            <w:vAlign w:val="center"/>
            <w:textDirection w:val="lrTb"/>
            <w:noWrap w:val="false"/>
          </w:tcPr>
          <w:p>
            <w:pPr>
              <w:jc w:val="left"/>
              <w:rPr>
                <w:rFonts w:hint="eastAsia" w:ascii="宋体" w:hAnsi="宋体"/>
                <w:color w:val="auto"/>
                <w:sz w:val="24"/>
                <w:szCs w:val="24"/>
                <w:lang w:val="zh-CN"/>
              </w:rPr>
            </w:pPr>
            <w:r>
              <w:rPr>
                <w:rFonts w:hint="eastAsia" w:ascii="宋体" w:hAnsi="宋体"/>
                <w:color w:val="auto"/>
                <w:sz w:val="24"/>
                <w:szCs w:val="24"/>
                <w:lang w:val="zh-CN"/>
              </w:rPr>
              <w:t xml:space="preserve">与我方</w:t>
            </w:r>
            <w:r>
              <w:rPr>
                <w:rFonts w:hint="eastAsia" w:ascii="宋体" w:hAnsi="宋体"/>
                <w:color w:val="auto"/>
                <w:sz w:val="24"/>
                <w:szCs w:val="24"/>
              </w:rPr>
              <w:t xml:space="preserve">存在直接控股、管理关系的其他单位</w:t>
            </w:r>
            <w:r/>
          </w:p>
        </w:tc>
        <w:tc>
          <w:tcPr>
            <w:tcW w:w="4680"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注：没有请填无。</w:t>
      </w:r>
      <w:r/>
    </w:p>
    <w:p>
      <w:pPr>
        <w:numPr>
          <w:ilvl w:val="0"/>
          <w:numId w:val="11"/>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与本报价有关的一切正式往来函电，请联系：</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Height w:val="567"/>
        </w:trPr>
        <w:tc>
          <w:tcPr>
            <w:tcW w:w="1497" w:type="dxa"/>
            <w:vAlign w:val="center"/>
            <w:textDirection w:val="lrTb"/>
            <w:noWrap w:val="false"/>
          </w:tcPr>
          <w:p>
            <w:pPr>
              <w:jc w:val="center"/>
              <w:rPr>
                <w:rFonts w:hint="eastAsia" w:ascii="宋体" w:hAnsi="宋体"/>
                <w:color w:val="auto"/>
                <w:sz w:val="24"/>
                <w:szCs w:val="24"/>
                <w:lang w:val="zh-CN"/>
              </w:rPr>
            </w:pPr>
            <w:r/>
            <w:bookmarkStart w:id="213" w:name="OLE_LINK249"/>
            <w:r>
              <w:rPr>
                <w:rFonts w:hint="eastAsia" w:ascii="宋体" w:hAnsi="宋体"/>
                <w:color w:val="auto"/>
                <w:sz w:val="24"/>
                <w:szCs w:val="24"/>
                <w:lang w:val="zh-CN"/>
              </w:rPr>
              <w:t xml:space="preserve">地址</w:t>
            </w:r>
            <w:r/>
          </w:p>
        </w:tc>
        <w:tc>
          <w:tcPr>
            <w:tcW w:w="2913"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c>
          <w:tcPr>
            <w:tcW w:w="1252"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邮编</w:t>
            </w:r>
            <w:r/>
          </w:p>
        </w:tc>
        <w:tc>
          <w:tcPr>
            <w:tcW w:w="3675"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传真</w:t>
            </w:r>
            <w:r/>
          </w:p>
        </w:tc>
        <w:tc>
          <w:tcPr>
            <w:tcW w:w="2913"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c>
          <w:tcPr>
            <w:tcW w:w="1252"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办公电话</w:t>
            </w:r>
            <w:r/>
          </w:p>
        </w:tc>
        <w:tc>
          <w:tcPr>
            <w:tcW w:w="3675"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rPr>
              <w:t xml:space="preserve">法定代表人</w:t>
            </w:r>
            <w:r/>
          </w:p>
        </w:tc>
        <w:tc>
          <w:tcPr>
            <w:tcW w:w="2913"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c>
          <w:tcPr>
            <w:tcW w:w="1252"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手机号码</w:t>
            </w:r>
            <w:r/>
          </w:p>
        </w:tc>
        <w:tc>
          <w:tcPr>
            <w:tcW w:w="3675"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联系人</w:t>
            </w:r>
            <w:r/>
          </w:p>
        </w:tc>
        <w:tc>
          <w:tcPr>
            <w:tcW w:w="2913"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c>
          <w:tcPr>
            <w:tcW w:w="1252"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手机号码</w:t>
            </w:r>
            <w:r/>
          </w:p>
        </w:tc>
        <w:tc>
          <w:tcPr>
            <w:tcW w:w="3675"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开户名称</w:t>
            </w:r>
            <w:r/>
          </w:p>
        </w:tc>
        <w:tc>
          <w:tcPr>
            <w:gridSpan w:val="3"/>
            <w:tcW w:w="7840"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r>
      <w:tr>
        <w:trPr>
          <w:jc w:val="center"/>
          <w:trHeight w:val="567"/>
        </w:trPr>
        <w:tc>
          <w:tcPr>
            <w:tcW w:w="1497"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开户银行</w:t>
            </w:r>
            <w:r/>
          </w:p>
        </w:tc>
        <w:tc>
          <w:tcPr>
            <w:tcW w:w="2913"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r/>
          </w:p>
        </w:tc>
        <w:tc>
          <w:tcPr>
            <w:tcW w:w="1252"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t xml:space="preserve">开户账号</w:t>
            </w:r>
            <w:r/>
          </w:p>
        </w:tc>
        <w:tc>
          <w:tcPr>
            <w:tcW w:w="3675" w:type="dxa"/>
            <w:vAlign w:val="center"/>
            <w:textDirection w:val="lrTb"/>
            <w:noWrap w:val="false"/>
          </w:tcPr>
          <w:p>
            <w:pPr>
              <w:jc w:val="center"/>
              <w:rPr>
                <w:rFonts w:hint="eastAsia" w:ascii="宋体" w:hAnsi="宋体"/>
                <w:color w:val="auto"/>
                <w:sz w:val="24"/>
                <w:szCs w:val="24"/>
                <w:lang w:val="zh-CN"/>
              </w:rPr>
            </w:pPr>
            <w:r>
              <w:rPr>
                <w:rFonts w:hint="eastAsia" w:ascii="宋体" w:hAnsi="宋体"/>
                <w:color w:val="auto"/>
                <w:sz w:val="24"/>
                <w:szCs w:val="24"/>
                <w:lang w:val="zh-CN"/>
              </w:rPr>
            </w:r>
            <w:bookmarkEnd w:id="211"/>
            <w:r/>
            <w:bookmarkEnd w:id="212"/>
            <w:r/>
            <w:bookmarkEnd w:id="213"/>
            <w:r/>
            <w:r/>
          </w:p>
        </w:tc>
      </w:tr>
    </w:tbl>
    <w:p>
      <w:pPr>
        <w:pStyle w:val="960"/>
        <w:ind w:left="0" w:firstLine="0"/>
        <w:rPr>
          <w:rFonts w:hint="eastAsia"/>
          <w:color w:val="auto"/>
          <w:lang w:val="zh-CN"/>
        </w:rPr>
      </w:pPr>
      <w:r>
        <w:rPr>
          <w:rFonts w:hint="eastAsia"/>
          <w:color w:val="auto"/>
          <w:lang w:val="zh-CN"/>
        </w:rPr>
      </w:r>
      <w:r/>
    </w:p>
    <w:p>
      <w:pPr>
        <w:pStyle w:val="960"/>
        <w:ind w:left="0" w:firstLine="0"/>
        <w:rPr>
          <w:rFonts w:hint="eastAsia"/>
          <w:color w:val="auto"/>
          <w:lang w:val="zh-CN"/>
        </w:rPr>
      </w:pPr>
      <w:r>
        <w:rPr>
          <w:rFonts w:hint="eastAsia"/>
          <w:color w:val="auto"/>
          <w:lang w:val="zh-CN"/>
        </w:rPr>
      </w:r>
      <w:r/>
    </w:p>
    <w:p>
      <w:pPr>
        <w:ind w:left="0" w:firstLine="5280"/>
        <w:jc w:val="center"/>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pStyle w:val="960"/>
        <w:rPr>
          <w:rFonts w:hint="eastAsia"/>
          <w:color w:val="auto"/>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color w:val="auto"/>
          <w:lang w:val="zh-CN"/>
        </w:rPr>
      </w:r>
      <w:r/>
    </w:p>
    <w:p>
      <w:pPr>
        <w:keepLines w:val="0"/>
        <w:keepNext w:val="0"/>
        <w:pageBreakBefore w:val="0"/>
        <w:spacing w:line="360" w:lineRule="auto"/>
        <w:widowControl w:val="off"/>
        <w:rPr>
          <w:rFonts w:hint="eastAsia" w:ascii="Arial" w:hAnsi="Arial" w:eastAsia="宋体" w:cs="Times New Roman"/>
          <w:b/>
          <w:color w:val="auto"/>
          <w:sz w:val="28"/>
          <w:szCs w:val="28"/>
          <w:lang w:val="en-US" w:eastAsia="zh-CN" w:bidi="ar-SA"/>
        </w:rPr>
      </w:pPr>
      <w:r>
        <w:rPr>
          <w:rFonts w:hint="eastAsia" w:ascii="Arial" w:hAnsi="Arial" w:cs="Times New Roman"/>
          <w:b/>
          <w:color w:val="auto"/>
          <w:sz w:val="28"/>
          <w:szCs w:val="28"/>
          <w:lang w:val="en-US" w:eastAsia="zh-CN" w:bidi="ar-SA"/>
        </w:rPr>
        <w:t xml:space="preserve">十</w:t>
      </w:r>
      <w:r>
        <w:rPr>
          <w:rFonts w:hint="eastAsia" w:ascii="Arial" w:hAnsi="Arial" w:eastAsia="宋体" w:cs="Times New Roman"/>
          <w:b/>
          <w:color w:val="auto"/>
          <w:sz w:val="28"/>
          <w:szCs w:val="28"/>
          <w:lang w:val="en-US" w:eastAsia="zh-CN" w:bidi="ar-SA"/>
        </w:rPr>
        <w:t xml:space="preserve">、承诺书（给定格式）：</w:t>
      </w:r>
      <w:r/>
    </w:p>
    <w:p>
      <w:pPr>
        <w:jc w:val="center"/>
        <w:spacing w:before="156" w:after="156"/>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承诺书</w:t>
      </w:r>
      <w:r/>
    </w:p>
    <w:p>
      <w:pPr>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lang w:val="zh-CN"/>
        </w:rPr>
        <w:t xml:space="preserve">（供应商名称）针对本项目</w:t>
      </w:r>
      <w:r>
        <w:rPr>
          <w:rFonts w:hint="eastAsia" w:ascii="宋体" w:hAnsi="宋体" w:cs="宋体"/>
          <w:color w:val="auto"/>
          <w:sz w:val="24"/>
          <w:szCs w:val="22"/>
          <w:lang w:val="en-US" w:eastAsia="zh-CN"/>
        </w:rPr>
        <w:t xml:space="preserve">JSZC-320282-JSXY-C2025-0009</w:t>
      </w:r>
      <w:r>
        <w:rPr>
          <w:rFonts w:hint="eastAsia" w:ascii="宋体" w:hAnsi="宋体" w:eastAsia="宋体" w:cs="宋体"/>
          <w:color w:val="auto"/>
          <w:sz w:val="24"/>
          <w:szCs w:val="22"/>
          <w:lang w:val="zh-CN"/>
        </w:rPr>
        <w:t xml:space="preserve">在此承诺：</w:t>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 xml:space="preserve">1.本公司（单位、联合体）对本项目所提供的货物均为原厂全新合格品，提供的服务符合磋商文件要求。</w:t>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 xml:space="preserve">2.本项目中如有涉及商品包装、快递包装要求的，本公司（单位、联合体）对于成交产品的包装将严格按《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 xml:space="preserve">5.根据财库〔2023〕29号、</w:t>
      </w:r>
      <w:r>
        <w:rPr>
          <w:rFonts w:hint="eastAsia" w:ascii="宋体" w:hAnsi="宋体" w:eastAsia="宋体" w:cs="宋体"/>
          <w:color w:val="auto"/>
          <w:sz w:val="24"/>
          <w:szCs w:val="22"/>
          <w:lang w:val="zh-CN"/>
        </w:rPr>
        <w:t xml:space="preserve">30号、31号、32号、33号、34号、35号（简称《需求标准》）规定，本项目中如有涉及数据库、操作系统、通用服务器、工作站、一体式计算机、便携式计算机、台式计算机等七种软硬件的，本公司（单位、联合体）将所报产品符合相关要求和标准。在满足《需求标准》的前提下，如磋商文件中对七种软硬件有其他要求的，本公司（单位、联合体）所投产品将满足磋商文件要求。如采购人在合同中约定，在履约验收管理时，对所提供的七种软硬件进行验收，且必要时将委托依法取得检测、认证资质的机构进行检测、认证的，本公司（单位、联合体）将予以配合。</w:t>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 xml:space="preserve">……（供应商如有其他承诺的可在此处添加）</w:t>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 xml:space="preserve">如违背上述承诺，本公司（单位、联合体）将承担一切法律责任。</w:t>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r>
      <w:r/>
    </w:p>
    <w:p>
      <w:pPr>
        <w:ind w:firstLine="480"/>
        <w:keepLines w:val="0"/>
        <w:keepNext w:val="0"/>
        <w:pageBreakBefore w:val="0"/>
        <w:spacing w:line="360" w:lineRule="auto"/>
        <w:widowControl w:val="off"/>
        <w:rPr>
          <w:rFonts w:hint="eastAsia" w:ascii="宋体" w:hAnsi="宋体" w:eastAsia="宋体" w:cs="宋体"/>
          <w:color w:val="auto"/>
          <w:sz w:val="24"/>
          <w:szCs w:val="22"/>
          <w:lang w:val="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2"/>
          <w:lang w:val="zh-CN"/>
        </w:rPr>
        <w:t xml:space="preserve">                           </w:t>
      </w:r>
      <w:r>
        <w:rPr>
          <w:rFonts w:hint="eastAsia" w:ascii="宋体" w:hAnsi="宋体" w:eastAsia="宋体" w:cs="宋体"/>
          <w:color w:val="auto"/>
          <w:sz w:val="24"/>
          <w:szCs w:val="22"/>
          <w:lang w:val="en-US" w:eastAsia="zh-CN"/>
        </w:rPr>
        <w:t xml:space="preserve">                </w:t>
      </w:r>
      <w:r>
        <w:rPr>
          <w:rFonts w:hint="eastAsia" w:ascii="宋体" w:hAnsi="宋体" w:eastAsia="宋体" w:cs="宋体"/>
          <w:color w:val="auto"/>
          <w:sz w:val="24"/>
          <w:szCs w:val="22"/>
          <w:lang w:val="zh-CN"/>
        </w:rPr>
        <w:t xml:space="preserve"> 供应商（电子签章）：</w:t>
      </w:r>
      <w:r/>
    </w:p>
    <w:p>
      <w:pPr>
        <w:keepLines w:val="0"/>
        <w:keepNext w:val="0"/>
        <w:pageBreakBefore w:val="0"/>
        <w:spacing w:line="360" w:lineRule="auto"/>
        <w:widowControl w:val="off"/>
        <w:rPr>
          <w:rFonts w:hint="eastAsia" w:ascii="Arial" w:hAnsi="Arial" w:eastAsia="宋体" w:cs="Times New Roman"/>
          <w:b/>
          <w:color w:val="auto"/>
          <w:sz w:val="28"/>
          <w:szCs w:val="28"/>
          <w:lang w:val="zh-CN" w:eastAsia="zh-CN" w:bidi="ar-SA"/>
        </w:rPr>
      </w:pPr>
      <w:r>
        <w:rPr>
          <w:rFonts w:hint="eastAsia" w:ascii="Arial" w:hAnsi="Arial" w:eastAsia="宋体" w:cs="Times New Roman"/>
          <w:b/>
          <w:color w:val="auto"/>
          <w:sz w:val="28"/>
          <w:szCs w:val="28"/>
          <w:lang w:val="en-US" w:eastAsia="zh-CN" w:bidi="ar-SA"/>
        </w:rPr>
        <w:t xml:space="preserve">十</w:t>
      </w:r>
      <w:r>
        <w:rPr>
          <w:rFonts w:hint="eastAsia" w:ascii="Arial" w:hAnsi="Arial" w:cs="Times New Roman"/>
          <w:b/>
          <w:color w:val="auto"/>
          <w:sz w:val="28"/>
          <w:szCs w:val="28"/>
          <w:lang w:val="en-US" w:eastAsia="zh-CN" w:bidi="ar-SA"/>
        </w:rPr>
        <w:t xml:space="preserve">一</w:t>
      </w:r>
      <w:r>
        <w:rPr>
          <w:rFonts w:hint="eastAsia" w:ascii="Arial" w:hAnsi="Arial" w:eastAsia="宋体" w:cs="Times New Roman"/>
          <w:b/>
          <w:color w:val="auto"/>
          <w:sz w:val="28"/>
          <w:szCs w:val="28"/>
          <w:lang w:val="en-US" w:eastAsia="zh-CN" w:bidi="ar-SA"/>
        </w:rPr>
        <w:t xml:space="preserve">、</w:t>
      </w:r>
      <w:r>
        <w:rPr>
          <w:rFonts w:hint="eastAsia" w:ascii="Arial" w:hAnsi="Arial" w:eastAsia="宋体" w:cs="Times New Roman"/>
          <w:b/>
          <w:color w:val="auto"/>
          <w:sz w:val="28"/>
          <w:szCs w:val="28"/>
          <w:lang w:val="zh-CN" w:eastAsia="zh-CN" w:bidi="ar-SA"/>
        </w:rPr>
        <w:t xml:space="preserve">项目技术要求偏离表</w:t>
      </w:r>
      <w:r>
        <w:rPr>
          <w:rFonts w:hint="eastAsia" w:ascii="Arial" w:hAnsi="Arial" w:eastAsia="宋体" w:cs="Times New Roman"/>
          <w:b/>
          <w:color w:val="auto"/>
          <w:sz w:val="28"/>
          <w:szCs w:val="28"/>
          <w:lang w:val="en-US" w:eastAsia="zh-CN" w:bidi="ar-SA"/>
        </w:rPr>
        <w:t xml:space="preserve">（给定格式）：</w:t>
      </w:r>
      <w:r/>
    </w:p>
    <w:p>
      <w:pPr>
        <w:jc w:val="center"/>
        <w:spacing w:before="156" w:after="156"/>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项目技术要求偏离表</w:t>
      </w:r>
      <w:r/>
    </w:p>
    <w:p>
      <w:pPr>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杨巷镇生活污水“全收集全处理”提质提标工作前期服务项目</w:t>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rPr>
        <w:t xml:space="preserve">                         </w:t>
      </w:r>
      <w:r/>
    </w:p>
    <w:p>
      <w:pPr>
        <w:jc w:val="both"/>
        <w:keepLines w:val="0"/>
        <w:keepNext w:val="0"/>
        <w:pageBreakBefore w:val="0"/>
        <w:spacing w:line="360" w:lineRule="auto"/>
        <w:widowControl w:val="off"/>
        <w:rPr>
          <w:rFonts w:hint="default" w:ascii="宋体" w:hAnsi="宋体"/>
          <w:color w:val="auto"/>
          <w:sz w:val="24"/>
          <w:szCs w:val="24"/>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JSZC-320282-JSXY-C2025-0009</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1973"/>
        <w:gridCol w:w="2315"/>
        <w:gridCol w:w="2327"/>
        <w:gridCol w:w="1969"/>
      </w:tblGrid>
      <w:tr>
        <w:trPr>
          <w:jc w:val="center"/>
          <w:trHeight w:val="930"/>
        </w:trPr>
        <w:tc>
          <w:tcPr>
            <w:tcW w:w="969"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序号</w:t>
            </w:r>
            <w:r/>
          </w:p>
        </w:tc>
        <w:tc>
          <w:tcPr>
            <w:tcW w:w="1973"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项目名称</w:t>
            </w:r>
            <w:r/>
          </w:p>
        </w:tc>
        <w:tc>
          <w:tcPr>
            <w:tcW w:w="2315"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采购要求</w:t>
            </w:r>
            <w:r/>
          </w:p>
        </w:tc>
        <w:tc>
          <w:tcPr>
            <w:tcW w:w="2327"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报价响应</w:t>
            </w:r>
            <w:r/>
          </w:p>
        </w:tc>
        <w:tc>
          <w:tcPr>
            <w:tcW w:w="1969" w:type="dxa"/>
            <w:vAlign w:val="center"/>
            <w:textDirection w:val="lrTb"/>
            <w:noWrap w:val="false"/>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 xml:space="preserve">正偏离/负偏离</w:t>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r>
      <w:tr>
        <w:trPr>
          <w:jc w:val="center"/>
          <w:trHeight w:val="930"/>
        </w:trPr>
        <w:tc>
          <w:tcPr>
            <w:tcW w:w="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color w:val="auto"/>
                <w:sz w:val="24"/>
                <w:szCs w:val="21"/>
                <w:lang w:val="zh-CN"/>
              </w:rPr>
            </w:pPr>
            <w:r>
              <w:rPr>
                <w:rFonts w:hint="eastAsia" w:ascii="宋体"/>
                <w:color w:val="auto"/>
                <w:sz w:val="24"/>
                <w:szCs w:val="21"/>
                <w:lang w:val="zh-CN"/>
              </w:rPr>
            </w:r>
            <w:r/>
          </w:p>
        </w:tc>
      </w:tr>
    </w:tbl>
    <w:p>
      <w:pPr>
        <w:pStyle w:val="960"/>
        <w:ind w:left="0" w:firstLine="0"/>
        <w:rPr>
          <w:rFonts w:hint="eastAsia"/>
          <w:color w:val="auto"/>
          <w:lang w:val="zh-CN"/>
        </w:rPr>
      </w:pPr>
      <w:r>
        <w:rPr>
          <w:rFonts w:hint="eastAsia"/>
          <w:color w:val="auto"/>
          <w:lang w:val="zh-CN"/>
        </w:rPr>
      </w:r>
      <w:r/>
    </w:p>
    <w:p>
      <w:pPr>
        <w:ind w:left="0" w:firstLine="5280"/>
        <w:jc w:val="center"/>
        <w:keepLines w:val="0"/>
        <w:keepNext w:val="0"/>
        <w:pageBreakBefore w:val="0"/>
        <w:spacing w:line="360" w:lineRule="auto"/>
        <w:widowControl w:val="off"/>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pPr>
        <w:keepLines w:val="0"/>
        <w:keepNext w:val="0"/>
        <w:pageBreakBefore w:val="0"/>
        <w:spacing w:line="360" w:lineRule="auto"/>
        <w:widowControl w:val="off"/>
        <w:rPr>
          <w:rFonts w:hint="eastAsia" w:ascii="宋体"/>
          <w:bCs/>
          <w:color w:val="auto"/>
          <w:sz w:val="24"/>
          <w:szCs w:val="24"/>
          <w:lang w:val="zh-CN"/>
        </w:rPr>
      </w:pPr>
      <w:r>
        <w:rPr>
          <w:rFonts w:hint="eastAsia" w:ascii="宋体"/>
          <w:bCs/>
          <w:color w:val="auto"/>
          <w:sz w:val="24"/>
          <w:szCs w:val="24"/>
          <w:lang w:val="zh-CN"/>
        </w:rPr>
      </w:r>
      <w:r/>
    </w:p>
    <w:p>
      <w:pPr>
        <w:jc w:val="left"/>
        <w:keepLines w:val="0"/>
        <w:keepNext w:val="0"/>
        <w:pageBreakBefore w:val="0"/>
        <w:spacing w:line="360" w:lineRule="auto"/>
        <w:widowControl w:val="off"/>
        <w:tabs>
          <w:tab w:val="left" w:pos="255" w:leader="none"/>
        </w:tabs>
        <w:rPr>
          <w:rFonts w:hint="eastAsia" w:ascii="宋体"/>
          <w:bCs/>
          <w:color w:val="auto"/>
          <w:sz w:val="22"/>
          <w:szCs w:val="22"/>
          <w:lang w:val="zh-CN"/>
        </w:rPr>
      </w:pPr>
      <w:r>
        <w:rPr>
          <w:rFonts w:hint="eastAsia" w:ascii="宋体"/>
          <w:bCs/>
          <w:color w:val="auto"/>
          <w:sz w:val="22"/>
          <w:szCs w:val="22"/>
          <w:lang w:val="zh-CN"/>
        </w:rPr>
        <w:t xml:space="preserve">注：</w:t>
      </w:r>
      <w:r/>
    </w:p>
    <w:p>
      <w:pPr>
        <w:ind w:firstLine="440"/>
        <w:jc w:val="left"/>
        <w:keepLines w:val="0"/>
        <w:keepNext w:val="0"/>
        <w:pageBreakBefore w:val="0"/>
        <w:spacing w:line="360" w:lineRule="auto"/>
        <w:widowControl w:val="off"/>
        <w:tabs>
          <w:tab w:val="left" w:pos="255" w:leader="none"/>
        </w:tabs>
        <w:rPr>
          <w:rFonts w:hint="eastAsia" w:ascii="宋体"/>
          <w:bCs/>
          <w:color w:val="auto"/>
          <w:sz w:val="22"/>
          <w:szCs w:val="22"/>
          <w:lang w:val="zh-CN"/>
        </w:rPr>
      </w:pPr>
      <w:r>
        <w:rPr>
          <w:rFonts w:hint="eastAsia" w:ascii="宋体"/>
          <w:bCs/>
          <w:color w:val="auto"/>
          <w:sz w:val="22"/>
          <w:szCs w:val="22"/>
          <w:lang w:val="zh-CN"/>
        </w:rPr>
        <w:t xml:space="preserve">（1）供应商应对照磋商文件第三章“项目技术要求和有关说明”的相关要求，将自身响应的偏离情况（与磋商文件要求不一致的地方）详细填入上表，并注明“正偏离/负偏离”；若未填写上表，视为完全响应。</w:t>
      </w:r>
      <w:r/>
    </w:p>
    <w:p>
      <w:pPr>
        <w:ind w:firstLine="440"/>
        <w:jc w:val="left"/>
        <w:keepLines w:val="0"/>
        <w:keepNext w:val="0"/>
        <w:pageBreakBefore w:val="0"/>
        <w:spacing w:line="360" w:lineRule="auto"/>
        <w:widowControl w:val="off"/>
        <w:tabs>
          <w:tab w:val="left" w:pos="255" w:leader="none"/>
        </w:tabs>
        <w:rPr>
          <w:rFonts w:hint="eastAsia" w:ascii="宋体" w:hAnsi="宋体"/>
          <w:bCs/>
          <w:color w:val="auto"/>
          <w:sz w:val="22"/>
          <w:szCs w:val="22"/>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bCs/>
          <w:color w:val="auto"/>
          <w:sz w:val="22"/>
          <w:szCs w:val="22"/>
          <w:lang w:val="zh-CN"/>
        </w:rPr>
        <w:t xml:space="preserve">（2）“正偏离”指供应商提供的服务（货物）响应情况优于磋商文件要求；“负偏离”指供应商提供的服务（货物）响应情况劣于磋商文件要求</w:t>
      </w:r>
      <w:r>
        <w:rPr>
          <w:rFonts w:hint="eastAsia" w:ascii="宋体" w:hAnsi="宋体"/>
          <w:bCs/>
          <w:color w:val="auto"/>
          <w:sz w:val="22"/>
          <w:szCs w:val="22"/>
        </w:rPr>
        <w:t xml:space="preserve">。</w:t>
      </w:r>
      <w:r/>
    </w:p>
    <w:p>
      <w:pPr>
        <w:keepLines w:val="0"/>
        <w:keepNext w:val="0"/>
        <w:pageBreakBefore w:val="0"/>
        <w:spacing w:line="360" w:lineRule="auto"/>
        <w:widowControl w:val="off"/>
        <w:rPr>
          <w:rFonts w:hint="eastAsia" w:ascii="Arial" w:hAnsi="Arial" w:eastAsia="宋体" w:cs="Times New Roman"/>
          <w:b/>
          <w:color w:val="auto"/>
          <w:sz w:val="28"/>
          <w:szCs w:val="28"/>
          <w:lang w:val="zh-CN" w:eastAsia="zh-CN" w:bidi="ar-SA"/>
        </w:rPr>
      </w:pPr>
      <w:r>
        <w:rPr>
          <w:rFonts w:hint="eastAsia" w:ascii="Arial" w:hAnsi="Arial" w:eastAsia="宋体" w:cs="Times New Roman"/>
          <w:b/>
          <w:color w:val="auto"/>
          <w:sz w:val="28"/>
          <w:szCs w:val="28"/>
          <w:lang w:val="zh-CN" w:eastAsia="zh-CN" w:bidi="ar-SA"/>
        </w:rPr>
        <w:t xml:space="preserve">十</w:t>
      </w:r>
      <w:r>
        <w:rPr>
          <w:rFonts w:hint="eastAsia" w:ascii="Arial" w:hAnsi="Arial" w:cs="Times New Roman"/>
          <w:b/>
          <w:color w:val="auto"/>
          <w:sz w:val="28"/>
          <w:szCs w:val="28"/>
          <w:lang w:val="zh-CN" w:eastAsia="zh-CN" w:bidi="ar-SA"/>
        </w:rPr>
        <w:t xml:space="preserve">二</w:t>
      </w:r>
      <w:r>
        <w:rPr>
          <w:rFonts w:hint="eastAsia" w:ascii="Arial" w:hAnsi="Arial" w:eastAsia="宋体" w:cs="Times New Roman"/>
          <w:b/>
          <w:color w:val="auto"/>
          <w:sz w:val="28"/>
          <w:szCs w:val="28"/>
          <w:lang w:val="zh-CN" w:eastAsia="zh-CN" w:bidi="ar-SA"/>
        </w:rPr>
        <w:t xml:space="preserve">、项目人员配置清单（参考格式）:</w:t>
      </w:r>
      <w:r/>
    </w:p>
    <w:p>
      <w:pPr>
        <w:jc w:val="center"/>
        <w:spacing w:before="156" w:after="156"/>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项目人员配置清单</w:t>
      </w:r>
      <w:r/>
    </w:p>
    <w:p>
      <w:pPr>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杨巷镇生活污水“全收集全处理”提质提标工作前期服务项目</w:t>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rPr>
        <w:t xml:space="preserve">                         </w:t>
      </w:r>
      <w:r/>
    </w:p>
    <w:p>
      <w:pPr>
        <w:jc w:val="both"/>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JSZC-320282-JSXY-C2025-0009</w:t>
      </w:r>
      <w:r>
        <w:rPr>
          <w:rFonts w:hint="eastAsia" w:ascii="宋体" w:hAnsi="宋体"/>
          <w:color w:val="auto"/>
          <w:sz w:val="24"/>
          <w:szCs w:val="24"/>
          <w:highlight w:val="none"/>
          <w:lang w:val="zh-CN"/>
        </w:rPr>
        <w:t xml:space="preserve">   </w:t>
      </w:r>
      <w:r>
        <w:rPr>
          <w:rFonts w:hint="eastAsia" w:ascii="宋体" w:hAnsi="宋体"/>
          <w:color w:val="auto"/>
          <w:sz w:val="24"/>
          <w:szCs w:val="21"/>
          <w:highlight w:val="none"/>
          <w:lang w:val="zh-CN"/>
        </w:rPr>
        <w:t xml:space="preserve">    </w:t>
      </w:r>
      <w:r/>
    </w:p>
    <w:tbl>
      <w:tblPr>
        <w:tblStyle w:val="948"/>
        <w:tblW w:w="9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1216"/>
        <w:gridCol w:w="1216"/>
        <w:gridCol w:w="1216"/>
        <w:gridCol w:w="1216"/>
        <w:gridCol w:w="1217"/>
        <w:gridCol w:w="1217"/>
        <w:gridCol w:w="1217"/>
      </w:tblGrid>
      <w:tr>
        <w:trPr>
          <w:jc w:val="center"/>
          <w:trHeight w:val="607"/>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b/>
                <w:color w:val="auto"/>
                <w:sz w:val="24"/>
                <w:highlight w:val="none"/>
              </w:rPr>
            </w:pPr>
            <w:r>
              <w:rPr>
                <w:rFonts w:hint="eastAsia" w:ascii="宋体" w:hAnsi="宋体"/>
                <w:b/>
                <w:color w:val="auto"/>
                <w:sz w:val="24"/>
                <w:highlight w:val="none"/>
              </w:rPr>
              <w:t xml:space="preserve">证书编号</w:t>
            </w:r>
            <w:r/>
          </w:p>
        </w:tc>
      </w:tr>
      <w:tr>
        <w:trPr>
          <w:jc w:val="center"/>
          <w:trHeight w:val="521"/>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表格不够可自行延长。</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2.应按磋商文件要求配备项目人员及提供相关证明材料，以满足项目的基准要求，否则报价无效。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3.上述人员如在项目执行过程中需要更换，须经采购人同意。擅自更换或不到位属违约行为。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pStyle w:val="960"/>
        <w:ind w:left="0" w:firstLine="0"/>
        <w:rPr>
          <w:rFonts w:hint="eastAsia"/>
          <w:color w:val="auto"/>
          <w:lang w:val="zh-CN"/>
        </w:rPr>
      </w:pPr>
      <w:r>
        <w:rPr>
          <w:rFonts w:hint="eastAsia"/>
          <w:color w:val="auto"/>
          <w:lang w:val="zh-CN"/>
        </w:rPr>
      </w:r>
      <w:r/>
    </w:p>
    <w:p>
      <w:pPr>
        <w:ind w:left="0" w:firstLine="5280"/>
        <w:jc w:val="center"/>
        <w:keepLines w:val="0"/>
        <w:keepNext w:val="0"/>
        <w:pageBreakBefore w:val="0"/>
        <w:spacing w:line="360" w:lineRule="auto"/>
        <w:widowControl w:val="off"/>
        <w:rPr>
          <w:color w:val="auto"/>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供应商（电子签章）：</w:t>
      </w:r>
      <w:r/>
    </w:p>
    <w:p>
      <w:r/>
      <w:r/>
    </w:p>
    <w:p>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- 33 -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- 33 -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- 39 -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- 39 -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0"/>
  </w:num>
  <w:num w:numId="4">
    <w:abstractNumId w:val="4"/>
  </w:num>
  <w:num w:numId="5">
    <w:abstractNumId w:val="9"/>
  </w:num>
  <w:num w:numId="6">
    <w:abstractNumId w:val="2"/>
  </w:num>
  <w:num w:numId="7">
    <w:abstractNumId w:val="1"/>
  </w:num>
  <w:num w:numId="8">
    <w:abstractNumId w:val="8"/>
  </w:num>
  <w:num w:numId="9">
    <w:abstractNumId w:val="10"/>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6"/>
    <w:next w:val="946"/>
    <w:link w:val="772"/>
    <w:uiPriority w:val="9"/>
    <w:qFormat/>
    <w:pPr>
      <w:keepLines/>
      <w:keepNext/>
      <w:spacing w:before="480" w:after="200"/>
      <w:outlineLvl w:val="0"/>
    </w:pPr>
    <w:rPr>
      <w:rFonts w:ascii="Arial" w:hAnsi="Arial" w:eastAsia="Arial" w:cs="Arial"/>
      <w:sz w:val="40"/>
      <w:szCs w:val="40"/>
    </w:rPr>
  </w:style>
  <w:style w:type="character" w:styleId="772">
    <w:name w:val="Heading 1 Char"/>
    <w:basedOn w:val="947"/>
    <w:link w:val="771"/>
    <w:uiPriority w:val="9"/>
    <w:rPr>
      <w:rFonts w:ascii="Arial" w:hAnsi="Arial" w:eastAsia="Arial" w:cs="Arial"/>
      <w:sz w:val="40"/>
      <w:szCs w:val="40"/>
    </w:rPr>
  </w:style>
  <w:style w:type="paragraph" w:styleId="773">
    <w:name w:val="Heading 2"/>
    <w:basedOn w:val="946"/>
    <w:next w:val="946"/>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basedOn w:val="947"/>
    <w:link w:val="773"/>
    <w:uiPriority w:val="9"/>
    <w:rPr>
      <w:rFonts w:ascii="Arial" w:hAnsi="Arial" w:eastAsia="Arial" w:cs="Arial"/>
      <w:sz w:val="34"/>
    </w:rPr>
  </w:style>
  <w:style w:type="paragraph" w:styleId="775">
    <w:name w:val="Heading 3"/>
    <w:basedOn w:val="946"/>
    <w:next w:val="946"/>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basedOn w:val="947"/>
    <w:link w:val="775"/>
    <w:uiPriority w:val="9"/>
    <w:rPr>
      <w:rFonts w:ascii="Arial" w:hAnsi="Arial" w:eastAsia="Arial" w:cs="Arial"/>
      <w:sz w:val="30"/>
      <w:szCs w:val="30"/>
    </w:rPr>
  </w:style>
  <w:style w:type="paragraph" w:styleId="777">
    <w:name w:val="Heading 4"/>
    <w:basedOn w:val="946"/>
    <w:next w:val="946"/>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basedOn w:val="947"/>
    <w:link w:val="777"/>
    <w:uiPriority w:val="9"/>
    <w:rPr>
      <w:rFonts w:ascii="Arial" w:hAnsi="Arial" w:eastAsia="Arial" w:cs="Arial"/>
      <w:b/>
      <w:bCs/>
      <w:sz w:val="26"/>
      <w:szCs w:val="26"/>
    </w:rPr>
  </w:style>
  <w:style w:type="paragraph" w:styleId="779">
    <w:name w:val="Heading 5"/>
    <w:basedOn w:val="946"/>
    <w:next w:val="946"/>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basedOn w:val="947"/>
    <w:link w:val="779"/>
    <w:uiPriority w:val="9"/>
    <w:rPr>
      <w:rFonts w:ascii="Arial" w:hAnsi="Arial" w:eastAsia="Arial" w:cs="Arial"/>
      <w:b/>
      <w:bCs/>
      <w:sz w:val="24"/>
      <w:szCs w:val="24"/>
    </w:rPr>
  </w:style>
  <w:style w:type="paragraph" w:styleId="781">
    <w:name w:val="Heading 6"/>
    <w:basedOn w:val="946"/>
    <w:next w:val="946"/>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947"/>
    <w:link w:val="781"/>
    <w:uiPriority w:val="9"/>
    <w:rPr>
      <w:rFonts w:ascii="Arial" w:hAnsi="Arial" w:eastAsia="Arial" w:cs="Arial"/>
      <w:b/>
      <w:bCs/>
      <w:sz w:val="22"/>
      <w:szCs w:val="22"/>
    </w:rPr>
  </w:style>
  <w:style w:type="paragraph" w:styleId="783">
    <w:name w:val="Heading 7"/>
    <w:basedOn w:val="946"/>
    <w:next w:val="946"/>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947"/>
    <w:link w:val="783"/>
    <w:uiPriority w:val="9"/>
    <w:rPr>
      <w:rFonts w:ascii="Arial" w:hAnsi="Arial" w:eastAsia="Arial" w:cs="Arial"/>
      <w:b/>
      <w:bCs/>
      <w:i/>
      <w:iCs/>
      <w:sz w:val="22"/>
      <w:szCs w:val="22"/>
    </w:rPr>
  </w:style>
  <w:style w:type="paragraph" w:styleId="785">
    <w:name w:val="Heading 8"/>
    <w:basedOn w:val="946"/>
    <w:next w:val="946"/>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947"/>
    <w:link w:val="785"/>
    <w:uiPriority w:val="9"/>
    <w:rPr>
      <w:rFonts w:ascii="Arial" w:hAnsi="Arial" w:eastAsia="Arial" w:cs="Arial"/>
      <w:i/>
      <w:iCs/>
      <w:sz w:val="22"/>
      <w:szCs w:val="22"/>
    </w:rPr>
  </w:style>
  <w:style w:type="paragraph" w:styleId="787">
    <w:name w:val="Heading 9"/>
    <w:basedOn w:val="946"/>
    <w:next w:val="946"/>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47"/>
    <w:link w:val="787"/>
    <w:uiPriority w:val="9"/>
    <w:rPr>
      <w:rFonts w:ascii="Arial" w:hAnsi="Arial" w:eastAsia="Arial" w:cs="Arial"/>
      <w:i/>
      <w:iCs/>
      <w:sz w:val="21"/>
      <w:szCs w:val="21"/>
    </w:rPr>
  </w:style>
  <w:style w:type="paragraph" w:styleId="789">
    <w:name w:val="List Paragraph"/>
    <w:basedOn w:val="946"/>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6"/>
    <w:next w:val="946"/>
    <w:link w:val="792"/>
    <w:uiPriority w:val="10"/>
    <w:qFormat/>
    <w:pPr>
      <w:contextualSpacing/>
      <w:spacing w:before="300" w:after="200"/>
    </w:pPr>
    <w:rPr>
      <w:sz w:val="48"/>
      <w:szCs w:val="48"/>
    </w:rPr>
  </w:style>
  <w:style w:type="character" w:styleId="792">
    <w:name w:val="Title Char"/>
    <w:basedOn w:val="947"/>
    <w:link w:val="791"/>
    <w:uiPriority w:val="10"/>
    <w:rPr>
      <w:sz w:val="48"/>
      <w:szCs w:val="48"/>
    </w:rPr>
  </w:style>
  <w:style w:type="paragraph" w:styleId="793">
    <w:name w:val="Subtitle"/>
    <w:basedOn w:val="946"/>
    <w:next w:val="946"/>
    <w:link w:val="794"/>
    <w:uiPriority w:val="11"/>
    <w:qFormat/>
    <w:pPr>
      <w:spacing w:before="200" w:after="200"/>
    </w:pPr>
    <w:rPr>
      <w:sz w:val="24"/>
      <w:szCs w:val="24"/>
    </w:rPr>
  </w:style>
  <w:style w:type="character" w:styleId="794">
    <w:name w:val="Subtitle Char"/>
    <w:basedOn w:val="947"/>
    <w:link w:val="793"/>
    <w:uiPriority w:val="11"/>
    <w:rPr>
      <w:sz w:val="24"/>
      <w:szCs w:val="24"/>
    </w:rPr>
  </w:style>
  <w:style w:type="paragraph" w:styleId="795">
    <w:name w:val="Quote"/>
    <w:basedOn w:val="946"/>
    <w:next w:val="946"/>
    <w:link w:val="796"/>
    <w:uiPriority w:val="29"/>
    <w:qFormat/>
    <w:pPr>
      <w:ind w:left="720" w:right="720"/>
    </w:pPr>
    <w:rPr>
      <w:i/>
    </w:rPr>
  </w:style>
  <w:style w:type="character" w:styleId="796">
    <w:name w:val="Quote Char"/>
    <w:link w:val="795"/>
    <w:uiPriority w:val="29"/>
    <w:rPr>
      <w:i/>
    </w:rPr>
  </w:style>
  <w:style w:type="paragraph" w:styleId="797">
    <w:name w:val="Intense Quote"/>
    <w:basedOn w:val="946"/>
    <w:next w:val="946"/>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6"/>
    <w:link w:val="800"/>
    <w:uiPriority w:val="99"/>
    <w:unhideWhenUsed/>
    <w:pPr>
      <w:spacing w:after="0" w:line="240" w:lineRule="auto"/>
      <w:tabs>
        <w:tab w:val="center" w:pos="7143" w:leader="none"/>
        <w:tab w:val="right" w:pos="14287" w:leader="none"/>
      </w:tabs>
    </w:pPr>
  </w:style>
  <w:style w:type="character" w:styleId="800">
    <w:name w:val="Header Char"/>
    <w:basedOn w:val="947"/>
    <w:link w:val="799"/>
    <w:uiPriority w:val="99"/>
  </w:style>
  <w:style w:type="character" w:styleId="801">
    <w:name w:val="Footer Char"/>
    <w:basedOn w:val="947"/>
    <w:link w:val="950"/>
    <w:uiPriority w:val="99"/>
  </w:style>
  <w:style w:type="paragraph" w:styleId="802">
    <w:name w:val="Caption"/>
    <w:basedOn w:val="946"/>
    <w:next w:val="946"/>
    <w:uiPriority w:val="35"/>
    <w:semiHidden/>
    <w:unhideWhenUsed/>
    <w:qFormat/>
    <w:pPr>
      <w:spacing w:line="276" w:lineRule="auto"/>
    </w:pPr>
    <w:rPr>
      <w:b/>
      <w:bCs/>
      <w:color w:val="4f81bd" w:themeColor="accent1"/>
      <w:sz w:val="18"/>
      <w:szCs w:val="18"/>
    </w:rPr>
  </w:style>
  <w:style w:type="character" w:styleId="803">
    <w:name w:val="Caption Char"/>
    <w:basedOn w:val="802"/>
    <w:link w:val="950"/>
    <w:uiPriority w:val="99"/>
  </w:style>
  <w:style w:type="table" w:styleId="804">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0">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1">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2">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3">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4">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5">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2">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5">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6">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7">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8">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9">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0">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2">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3">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4">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5">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6">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7">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6">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7">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8">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9">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0">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1">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3">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4">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5">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6">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7">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8">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0">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1">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2">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3">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4">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5">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7">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1">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6"/>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basedOn w:val="947"/>
    <w:uiPriority w:val="99"/>
    <w:unhideWhenUsed/>
    <w:rPr>
      <w:vertAlign w:val="superscript"/>
    </w:rPr>
  </w:style>
  <w:style w:type="paragraph" w:styleId="933">
    <w:name w:val="endnote text"/>
    <w:basedOn w:val="946"/>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7"/>
    <w:uiPriority w:val="99"/>
    <w:semiHidden/>
    <w:unhideWhenUsed/>
    <w:rPr>
      <w:vertAlign w:val="superscript"/>
    </w:r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9"/>
    <w:uiPriority w:val="0"/>
    <w:qFormat/>
    <w:pPr>
      <w:jc w:val="both"/>
      <w:widowControl w:val="off"/>
    </w:pPr>
    <w:rPr>
      <w:rFonts w:ascii="Times New Roman" w:hAnsi="Times New Roman" w:eastAsia="宋体" w:cs="Times New Roman"/>
      <w:sz w:val="21"/>
      <w:lang w:val="en-US" w:eastAsia="zh-CN" w:bidi="ar-SA"/>
    </w:rPr>
  </w:style>
  <w:style w:type="character" w:styleId="947" w:default="1">
    <w:name w:val="Default Paragraph Font"/>
    <w:uiPriority w:val="0"/>
    <w:semiHidden/>
    <w:qFormat/>
  </w:style>
  <w:style w:type="table" w:styleId="948" w:default="1">
    <w:name w:val="Normal Table"/>
    <w:uiPriority w:val="0"/>
    <w:semiHidden/>
    <w:qFormat/>
    <w:tblPr>
      <w:tblCellMar>
        <w:left w:w="108" w:type="dxa"/>
        <w:top w:w="0" w:type="dxa"/>
        <w:right w:w="108" w:type="dxa"/>
        <w:bottom w:w="0" w:type="dxa"/>
      </w:tblCellMar>
    </w:tblPr>
  </w:style>
  <w:style w:type="paragraph" w:styleId="949" w:customStyle="1">
    <w:name w:val="正文文本缩进1"/>
    <w:basedOn w:val="946"/>
    <w:uiPriority w:val="0"/>
    <w:qFormat/>
    <w:pPr>
      <w:ind w:left="420" w:firstLine="1124"/>
      <w:spacing w:after="120" w:line="360" w:lineRule="auto"/>
    </w:pPr>
    <w:rPr>
      <w:rFonts w:ascii="Calibri" w:hAnsi="Calibri"/>
      <w:sz w:val="24"/>
      <w:szCs w:val="24"/>
    </w:rPr>
  </w:style>
  <w:style w:type="paragraph" w:styleId="950">
    <w:name w:val="Footer"/>
    <w:basedOn w:val="946"/>
    <w:uiPriority w:val="99"/>
    <w:qFormat/>
    <w:pPr>
      <w:jc w:val="left"/>
      <w:tabs>
        <w:tab w:val="center" w:pos="4153" w:leader="none"/>
        <w:tab w:val="right" w:pos="8306" w:leader="none"/>
      </w:tabs>
    </w:pPr>
    <w:rPr>
      <w:sz w:val="18"/>
    </w:rPr>
  </w:style>
  <w:style w:type="paragraph" w:styleId="951">
    <w:name w:val="toc 1"/>
    <w:basedOn w:val="946"/>
    <w:next w:val="946"/>
    <w:uiPriority w:val="0"/>
    <w:qFormat/>
  </w:style>
  <w:style w:type="table" w:styleId="952">
    <w:name w:val="Table Grid"/>
    <w:basedOn w:val="94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FollowedHyperlink"/>
    <w:uiPriority w:val="0"/>
    <w:qFormat/>
    <w:rPr>
      <w:color w:val="auto"/>
      <w:u w:val="none"/>
    </w:rPr>
  </w:style>
  <w:style w:type="paragraph" w:styleId="954" w:customStyle="1">
    <w:name w:val="索引 41"/>
    <w:basedOn w:val="946"/>
    <w:next w:val="946"/>
    <w:uiPriority w:val="0"/>
    <w:semiHidden/>
    <w:qFormat/>
    <w:pPr>
      <w:ind w:left="1260"/>
    </w:pPr>
    <w:rPr>
      <w:rFonts w:ascii="Calibri" w:hAnsi="Calibri" w:eastAsia="Calibri" w:cs="宋体"/>
      <w:sz w:val="20"/>
      <w:lang w:val="zh-CN"/>
    </w:rPr>
  </w:style>
  <w:style w:type="paragraph" w:styleId="955" w:customStyle="1">
    <w:name w:val="普通文字"/>
    <w:basedOn w:val="946"/>
    <w:next w:val="946"/>
    <w:uiPriority w:val="99"/>
    <w:qFormat/>
    <w:rPr>
      <w:rFonts w:ascii="宋体"/>
      <w:sz w:val="24"/>
      <w:u w:val="none"/>
    </w:rPr>
  </w:style>
  <w:style w:type="paragraph" w:styleId="956" w:customStyle="1">
    <w:name w:val="段"/>
    <w:next w:val="946"/>
    <w:uiPriority w:val="0"/>
    <w:qFormat/>
    <w:pPr>
      <w:ind w:firstLine="200"/>
      <w:jc w:val="both"/>
    </w:pPr>
    <w:rPr>
      <w:rFonts w:ascii="宋体" w:hAnsi="Times New Roman" w:eastAsia="Times New Roman" w:cs="Times New Roman"/>
      <w:sz w:val="21"/>
      <w:szCs w:val="22"/>
      <w:lang w:val="en-US" w:eastAsia="zh-CN" w:bidi="ar-SA"/>
    </w:rPr>
  </w:style>
  <w:style w:type="paragraph" w:styleId="957" w:customStyle="1">
    <w:name w:val="正文缩进1"/>
    <w:basedOn w:val="946"/>
    <w:uiPriority w:val="0"/>
    <w:qFormat/>
    <w:pPr>
      <w:ind w:firstLine="420"/>
      <w:jc w:val="left"/>
    </w:pPr>
    <w:rPr>
      <w:rFonts w:ascii="宋体" w:hAnsi="Calibri" w:eastAsia="宋体" w:cs="Times New Roman"/>
      <w:sz w:val="24"/>
      <w:szCs w:val="22"/>
    </w:rPr>
  </w:style>
  <w:style w:type="paragraph" w:styleId="958" w:customStyle="1">
    <w:name w:val="索引 11"/>
    <w:basedOn w:val="946"/>
    <w:next w:val="946"/>
    <w:uiPriority w:val="0"/>
    <w:qFormat/>
    <w:pPr>
      <w:spacing w:line="360" w:lineRule="auto"/>
    </w:pPr>
    <w:rPr>
      <w:rFonts w:ascii="仿宋_GB2312" w:eastAsia="仿宋_GB2312"/>
      <w:sz w:val="24"/>
      <w:szCs w:val="20"/>
    </w:rPr>
  </w:style>
  <w:style w:type="paragraph" w:styleId="959" w:customStyle="1">
    <w:name w:val="普通正文"/>
    <w:basedOn w:val="946"/>
    <w:uiPriority w:val="0"/>
    <w:qFormat/>
    <w:pPr>
      <w:ind w:firstLine="480"/>
      <w:jc w:val="left"/>
      <w:spacing w:before="120" w:after="120" w:line="360" w:lineRule="auto"/>
    </w:pPr>
    <w:rPr>
      <w:rFonts w:ascii="Arial" w:hAnsi="Arial"/>
      <w:sz w:val="24"/>
      <w:szCs w:val="24"/>
    </w:rPr>
  </w:style>
  <w:style w:type="paragraph" w:styleId="960" w:customStyle="1">
    <w:name w:val="首行缩进"/>
    <w:basedOn w:val="946"/>
    <w:uiPriority w:val="0"/>
    <w:qFormat/>
    <w:pPr>
      <w:ind w:firstLine="480"/>
      <w:jc w:val="left"/>
      <w:spacing w:line="360" w:lineRule="auto"/>
    </w:pPr>
    <w:rPr>
      <w:rFonts w:ascii="宋体" w:hAnsi="宋体"/>
      <w:sz w:val="24"/>
    </w:rPr>
  </w:style>
  <w:style w:type="paragraph" w:styleId="961" w:customStyle="1">
    <w:name w:val="普通(网站)1"/>
    <w:basedOn w:val="946"/>
    <w:uiPriority w:val="99"/>
    <w:unhideWhenUsed/>
    <w:qFormat/>
    <w:pPr>
      <w:jc w:val="left"/>
      <w:spacing w:before="100" w:beforeAutospacing="1" w:after="100" w:afterAutospacing="1"/>
    </w:pPr>
    <w:rPr>
      <w:rFonts w:ascii="Times New Roman" w:hAnsi="Times New Roman"/>
      <w:sz w:val="24"/>
    </w:rPr>
  </w:style>
  <w:style w:type="paragraph" w:styleId="962" w:customStyle="1">
    <w:name w:val="Table Text"/>
    <w:basedOn w:val="946"/>
    <w:uiPriority w:val="0"/>
    <w:semiHidden/>
    <w:qFormat/>
    <w:rPr>
      <w:rFonts w:ascii="宋体" w:hAnsi="宋体" w:eastAsia="宋体" w:cs="宋体"/>
      <w:sz w:val="24"/>
      <w:szCs w:val="24"/>
      <w:lang w:val="en-US" w:eastAsia="en-US" w:bidi="ar-SA"/>
    </w:rPr>
  </w:style>
  <w:style w:type="paragraph" w:styleId="963" w:customStyle="1">
    <w:name w:val="02 表格名称"/>
    <w:uiPriority w:val="0"/>
    <w:qFormat/>
    <w:pPr>
      <w:jc w:val="center"/>
      <w:spacing w:line="360" w:lineRule="auto"/>
    </w:pPr>
    <w:rPr>
      <w:rFonts w:ascii="Times New Roman" w:hAnsi="Times New Roman" w:eastAsia="宋体" w:cstheme="minorBidi"/>
      <w:b/>
      <w:sz w:val="21"/>
      <w:szCs w:val="22"/>
      <w:lang w:val="en-US" w:eastAsia="zh-CN" w:bidi="ar-SA"/>
    </w:rPr>
  </w:style>
  <w:style w:type="paragraph" w:styleId="964" w:customStyle="1">
    <w:name w:val="02 表内文字"/>
    <w:uiPriority w:val="0"/>
    <w:qFormat/>
    <w:pPr>
      <w:jc w:val="center"/>
      <w:spacing w:line="276" w:lineRule="auto"/>
    </w:pPr>
    <w:rPr>
      <w:rFonts w:ascii="Times New Roman" w:hAnsi="Times New Roman" w:eastAsia="宋体" w:cstheme="minorBidi"/>
      <w:sz w:val="21"/>
      <w:szCs w:val="22"/>
      <w:lang w:val="en-US" w:eastAsia="zh-CN" w:bidi="ar-SA"/>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LiJiaQing</dc:creator>
  <cp:lastModifiedBy>李家庆</cp:lastModifiedBy>
  <cp:revision>6</cp:revision>
  <dcterms:created xsi:type="dcterms:W3CDTF">2025-09-16T00:39:00Z</dcterms:created>
  <dcterms:modified xsi:type="dcterms:W3CDTF">2025-10-10T07:41:42Z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D0AD75D2FEC545358E644F282B151273</vt:lpwstr>
  </property>
  <property fmtid="{D5CDD505-2E9C-101B-9397-08002B2CF9AE}" pid="4" name="KSOTemplateDocerSaveRecord">
    <vt:lpwstr>eyJoZGlkIjoiNWM1YTdiMWM1ZDJkMDcyYWFmNTdjNTcxNmU0ZDY1ZGMiLCJ1c2VySWQiOiIyMzg5NTc5NDQifQ==</vt:lpwstr>
  </property>
</Properties>
</file>